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C6" w:rsidRDefault="00F54FA4">
      <w:pPr>
        <w:pStyle w:val="Default"/>
        <w:tabs>
          <w:tab w:val="left" w:pos="1486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>Załącznik nr 1 do zapytania ofertowego nr AG.272.55.2018</w:t>
      </w:r>
    </w:p>
    <w:tbl>
      <w:tblPr>
        <w:tblW w:w="14416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105"/>
        <w:gridCol w:w="2197"/>
        <w:gridCol w:w="5917"/>
        <w:gridCol w:w="1238"/>
        <w:gridCol w:w="1277"/>
        <w:gridCol w:w="1266"/>
        <w:gridCol w:w="1416"/>
      </w:tblGrid>
      <w:tr w:rsidR="00C24BC6" w:rsidTr="00283CC9">
        <w:tc>
          <w:tcPr>
            <w:tcW w:w="1441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</w:tcPr>
          <w:p w:rsidR="00C24BC6" w:rsidRDefault="00283CC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Wykaz wyposażenia</w:t>
            </w:r>
          </w:p>
        </w:tc>
      </w:tr>
      <w:tr w:rsidR="00C24BC6" w:rsidTr="00283CC9">
        <w:tc>
          <w:tcPr>
            <w:tcW w:w="14416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</w:tcPr>
          <w:p w:rsidR="00C24BC6" w:rsidRDefault="00F54F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bookmarkStart w:id="0" w:name="__DdeLink__560_3271588893"/>
            <w:bookmarkEnd w:id="0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I część </w:t>
            </w:r>
          </w:p>
          <w:p w:rsidR="00C24BC6" w:rsidRDefault="00F54F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Oprogramowanie komputerowe</w:t>
            </w:r>
          </w:p>
        </w:tc>
      </w:tr>
      <w:tr w:rsidR="00283CC9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525F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525F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525F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Opis i minimalne parametry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525F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525F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Ilość sztuk/ zestawów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83CC9" w:rsidRDefault="00283CC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Łączna cena brutto, tj. (Cena jednostkowa (brutto zł x Ilość sztuk, zestawów=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łączna cena brutto)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Uwagi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Program Gastro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Chef</w:t>
            </w:r>
            <w:proofErr w:type="spellEnd"/>
          </w:p>
          <w:p w:rsidR="00C24BC6" w:rsidRDefault="00C24B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C24BC6" w:rsidRDefault="00C24B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C24BC6" w:rsidRDefault="00C24BC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Rozliczenia magazynów i zużycia surowców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-kontrola kosztów – Food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Cost</w:t>
            </w:r>
            <w:proofErr w:type="spellEnd"/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-rozliczenia </w:t>
            </w:r>
            <w:r>
              <w:rPr>
                <w:rFonts w:cs="Times New Roman"/>
                <w:color w:val="000000"/>
                <w:sz w:val="24"/>
                <w:szCs w:val="24"/>
              </w:rPr>
              <w:t>produkcji gastronomicznej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-zaawansowana obsługa zamówień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-inwentaryzacje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-zdalne ustalanie rabatów i promocji widocznych w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POSie</w:t>
            </w:r>
            <w:proofErr w:type="spellEnd"/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-planowanie imprez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-wystawianie faktur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-przejrzyste raporty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-obsługa gastronomii zamkniętej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-eksport danych do innych systemów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obsługiwane systemy operacyjne: WINDOWS 7/10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możliwość zastosowania wersji edukacyjnej jeśli nie posiada ograniczeń funkcjonalnych 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stanowisk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Program komputerowy do projektowania instalacji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GstarCAD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Profesional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4 lata </w:t>
            </w:r>
          </w:p>
          <w:p w:rsidR="00C24BC6" w:rsidRDefault="00F54FA4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Times New Roman"/>
                <w:color w:val="000000"/>
                <w:sz w:val="24"/>
                <w:szCs w:val="24"/>
              </w:rPr>
              <w:t>możliwość zastosowania wersji edukacyjnej jeśli nie posiada ograniczeń funkcjonalnych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- licencja bezterminowa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Zawartotabeli"/>
              <w:snapToGrid w:val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Program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komputerowy do projektowania instalacji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PV SOL Premium 2018</w:t>
            </w:r>
          </w:p>
          <w:p w:rsidR="00C24BC6" w:rsidRDefault="00F54FA4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- możliwość zastosowania wersji edukacyjnej jeśli nie </w:t>
            </w:r>
            <w:r>
              <w:rPr>
                <w:rFonts w:cs="Times New Roman"/>
                <w:color w:val="000000"/>
                <w:sz w:val="24"/>
                <w:szCs w:val="24"/>
              </w:rPr>
              <w:t>posiada ograniczeń funkcjonalnych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- licencja bezterminowa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48000000-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rPr>
          <w:trHeight w:val="795"/>
        </w:trPr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Program do kosztorysowania instalacji OZE,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Zawartotabeli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ocnowyrniony"/>
                <w:rFonts w:cs="Times New Roman"/>
                <w:b w:val="0"/>
                <w:color w:val="000000"/>
                <w:sz w:val="24"/>
                <w:szCs w:val="24"/>
              </w:rPr>
              <w:t>Norma STANDARD 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C24BC6" w:rsidRDefault="00F54FA4">
            <w:pPr>
              <w:pStyle w:val="Zawartotabeli"/>
              <w:spacing w:after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możliwość zastosowania wersji edukacyjnej jeśli nie posiada ograniczeń funkcjonalnych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- licencja bezterminowa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Zawartotabeli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Program do obsługi gości hotelowych 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program do obsługi gości hotelowych „Chart” lub „Fidelio”</w:t>
            </w:r>
          </w:p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możliwość zastosowania wersji edukacyjnej jeśli nie posiada ograniczeń funkcjonalnych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stanowisk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Program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rezerwacyjny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MerlinX</w:t>
            </w:r>
            <w:proofErr w:type="spellEnd"/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Program rezerwacyjny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MerlinX</w:t>
            </w:r>
            <w:proofErr w:type="spellEnd"/>
          </w:p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możliwość zastosowania wersji edukacyjnej jeśli nie posiada ograniczeń funkcjonalnych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licencja na 48 miesięcy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pacing w:after="0"/>
              <w:rPr>
                <w:rFonts w:ascii="Times New Roman" w:eastAsia="Lato;sans-serif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Lato;sans-serif" w:cs="Times New Roman"/>
                <w:color w:val="000000"/>
                <w:sz w:val="24"/>
                <w:szCs w:val="24"/>
              </w:rPr>
              <w:t>Program Dieta 5D</w:t>
            </w:r>
          </w:p>
          <w:p w:rsidR="00C24BC6" w:rsidRDefault="00C24BC6">
            <w:pPr>
              <w:spacing w:after="0"/>
              <w:rPr>
                <w:rFonts w:eastAsia="Lato;sans-serif" w:cs="Times New Roman"/>
                <w:color w:val="000000"/>
                <w:sz w:val="24"/>
                <w:szCs w:val="24"/>
              </w:rPr>
            </w:pPr>
          </w:p>
          <w:p w:rsidR="00C24BC6" w:rsidRDefault="00C24BC6">
            <w:pPr>
              <w:spacing w:after="0"/>
              <w:rPr>
                <w:rFonts w:eastAsia="Lato;sans-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pacing w:after="0"/>
              <w:rPr>
                <w:rFonts w:ascii="Times New Roman" w:eastAsia="Lato;sans-serif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Lato;sans-serif" w:cs="Times New Roman"/>
                <w:color w:val="000000"/>
                <w:sz w:val="24"/>
                <w:szCs w:val="24"/>
              </w:rPr>
              <w:t xml:space="preserve">Program komputerowy do układania diet Dieta 5D. </w:t>
            </w:r>
            <w:r>
              <w:rPr>
                <w:rFonts w:eastAsia="Lato;sans-serif" w:cs="Times New Roman"/>
                <w:color w:val="000000"/>
                <w:sz w:val="24"/>
                <w:szCs w:val="24"/>
              </w:rPr>
              <w:t>Kompatybilny z  systemami operacyjnymi WINDOWS 7/8/10</w:t>
            </w:r>
          </w:p>
          <w:p w:rsidR="00C24BC6" w:rsidRDefault="00F54FA4">
            <w:pPr>
              <w:spacing w:after="0"/>
              <w:rPr>
                <w:rFonts w:ascii="Times New Roman" w:eastAsia="Lato;sans-serif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możliwość zastosowania wersji edukacyjnej jeśli nie posiada ograniczeń funkcjonalnych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pacing w:after="0"/>
              <w:rPr>
                <w:rFonts w:ascii="Times New Roman" w:eastAsia="Lato;sans-serif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Lato;sans-serif" w:cs="Times New Roman"/>
                <w:color w:val="000000"/>
                <w:sz w:val="24"/>
                <w:szCs w:val="24"/>
              </w:rPr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spacing w:after="0"/>
              <w:jc w:val="center"/>
              <w:rPr>
                <w:rFonts w:ascii="Times New Roman" w:eastAsia="Lato;sans-serif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Lato;sans-serif" w:cs="Times New Roman"/>
                <w:color w:val="000000"/>
                <w:sz w:val="24"/>
                <w:szCs w:val="24"/>
              </w:rPr>
              <w:t>16 stanowisk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spacing w:after="0"/>
              <w:jc w:val="center"/>
              <w:rPr>
                <w:rFonts w:eastAsia="Lato;sans-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biurowy</w:t>
            </w:r>
            <w:proofErr w:type="spellEnd"/>
          </w:p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Office Standard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Office standard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edukacji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 xml:space="preserve">-wersja </w:t>
            </w:r>
            <w:r>
              <w:rPr>
                <w:rFonts w:cs="Times New Roman"/>
                <w:sz w:val="24"/>
                <w:szCs w:val="24"/>
              </w:rPr>
              <w:t>edukacyjna PL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-bez konieczności wykupywania subskrypcji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-licencja ważna bezterminowo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-min. wersja 2016</w:t>
            </w:r>
          </w:p>
          <w:p w:rsidR="00C24BC6" w:rsidRDefault="00F54FA4">
            <w:pPr>
              <w:spacing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-zawierająca programy min. Word, Excel,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br/>
              <w:t>48000000-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C24BC6" w:rsidRDefault="00F54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33 licencje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biurowy</w:t>
            </w:r>
            <w:proofErr w:type="spellEnd"/>
          </w:p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Office Standard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Office standard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edukacji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-wersja edukacyjna PL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-bez konieczności wykupywania subskrypcji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-licencja ważna bezterminowo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-min. wersja 2016</w:t>
            </w:r>
          </w:p>
          <w:p w:rsidR="00C24BC6" w:rsidRDefault="00F54FA4">
            <w:pPr>
              <w:spacing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-zawierająca programy min. Word, Excel,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C24BC6" w:rsidRDefault="00F54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 licencji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Budowlanka i PCKZIU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biurowy</w:t>
            </w:r>
            <w:proofErr w:type="spellEnd"/>
          </w:p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Office Professional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Office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Professional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edukacji</w:t>
            </w:r>
            <w:proofErr w:type="spellEnd"/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-wersja edukacyjna PL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-bez konieczności wykupywania subskrypcji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-licencja ważna bezterminowo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-min. wersja 2016</w:t>
            </w:r>
          </w:p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-zawierająca programy min. Word, Excel,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cs="Times New Roman"/>
                <w:sz w:val="24"/>
                <w:szCs w:val="24"/>
              </w:rPr>
              <w:t>, Access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licencji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AutoCAD 2015/LT2015/360+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Kurs projektowania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parametycznego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i nieparametrycznego 2D i 3D (wersja polska)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AutoCAD 2015/LT2015/360+ Kurs projektowania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parametycznego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i nieparametrycznego 2D i 3D (wersja polska )Podręcznik zawiera kompletny kurs projektowania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parametrycznego i niepara</w:t>
            </w:r>
            <w:r>
              <w:rPr>
                <w:rFonts w:cs="Times New Roman"/>
                <w:color w:val="000000"/>
                <w:sz w:val="24"/>
                <w:szCs w:val="24"/>
              </w:rPr>
              <w:t>metrycznego 2D/3D oraz drukowania dokumentacji wyrobów dowolnej branży i o dowolnym stopniu złożoności, za pomocą programów: AutoCAD 2015 lub AutoCAD LT 2015 (tylko 2D) i wersji mobilnej AutoCAD 360 oraz nowszych, w polskiej lub angielskiej wersji językowe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j. Umożliwia przygotowanie do egzaminu certyfikacyjnego AutoCAD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Certified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Professional.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Budowlanka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Program do obróbki wideo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VegasPro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Program do profesjonalnej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postprodukcji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filmów o zaawansowanych możliwościach. Za pomocą tej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aplikacji będzie można tworzyć i edytować materiałów wideo o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standardowej (SD) i wysokiej rozdzielczości (HD i Full HD). Istnieje również możliwość pracy przy filmach dwu- (2D) i trójwymiarowych (3D). Vegas Pro oferuje także możliwość tworzenia filmów w ro</w:t>
            </w:r>
            <w:r>
              <w:rPr>
                <w:rFonts w:cs="Times New Roman"/>
                <w:color w:val="000000"/>
                <w:sz w:val="24"/>
                <w:szCs w:val="24"/>
              </w:rPr>
              <w:t>zdzielczości 4K, czyli 4096x3112.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licencja ESD - Wersja edukacyjna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Ponad 390 efektów wideo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Ponad 200 efektów przejść wideo 2D/3D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Automatyczne przejścia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Sterowanie oknami podglądu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Funkcja Instant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freeze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frame</w:t>
            </w:r>
            <w:proofErr w:type="spellEnd"/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Rozszerzony tryb edycji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Sync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-Link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Edycja w tr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ybie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multikamera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Obwiednia prędkości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Rozciąganie / Kompresja czasu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Zmiana kolejności klipów na linii edycyjnej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Ulepszenie dla klipów na linii edycyjnej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Uproszczenie nagłówków ścieżek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System menu umożliwiający organizowanie i dostosowywanie widocznych 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lementów sterujących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Narzędzia maskujące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Obsługa ACES 1.0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Efekty maskowania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Ustawienie kompozycji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Komponowanie 3D przy ruchu kamery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Dodaj głębię do elementów 2D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Wsparcie HEVC /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ProRes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/ XAVC</w:t>
            </w:r>
          </w:p>
          <w:p w:rsidR="00C24BC6" w:rsidRDefault="00F54FA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Obsługa przesyłania strumieniowego dla kodera AVC / MP4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Kompletne środowisko wielokanałowego dźwięku </w:t>
            </w:r>
          </w:p>
          <w:p w:rsidR="00C24BC6" w:rsidRDefault="00F54FA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Efekty FX audio 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br/>
              <w:t>48000000-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Budowlanka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Pakiet Office min. </w:t>
            </w:r>
            <w:r>
              <w:rPr>
                <w:rFonts w:cs="Arial"/>
                <w:sz w:val="24"/>
                <w:szCs w:val="24"/>
              </w:rPr>
              <w:lastRenderedPageBreak/>
              <w:t xml:space="preserve">Standard 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Wersja edukacyjna PL</w:t>
            </w:r>
          </w:p>
          <w:p w:rsidR="00C24BC6" w:rsidRDefault="00F54FA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Bez konieczności wykupywania subskrypcji</w:t>
            </w:r>
          </w:p>
          <w:p w:rsidR="00C24BC6" w:rsidRDefault="00F54FA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Licencja ważna bezterminowo</w:t>
            </w:r>
          </w:p>
          <w:p w:rsidR="00C24BC6" w:rsidRDefault="00F54FA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Min. wersja 2016</w:t>
            </w:r>
          </w:p>
          <w:p w:rsidR="00C24BC6" w:rsidRDefault="00F54FA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 xml:space="preserve">Zawierająca programy min. </w:t>
            </w:r>
            <w:r>
              <w:rPr>
                <w:rFonts w:cs="Times New Roman"/>
                <w:sz w:val="24"/>
                <w:szCs w:val="24"/>
              </w:rPr>
              <w:t xml:space="preserve">Word, Excel,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br/>
              <w:t>48000000-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25 licencji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System Serwerowy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bookmarkStart w:id="1" w:name="__DdeLink__1479_3743265403"/>
            <w:bookmarkEnd w:id="1"/>
            <w:r>
              <w:rPr>
                <w:rFonts w:cs="Times New Roman"/>
                <w:sz w:val="24"/>
                <w:szCs w:val="24"/>
                <w:lang w:val="de-DE"/>
              </w:rPr>
              <w:t>Windows Server 2016 Essentials 64bit PL OEM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48000000-8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RCKU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System Serwerowy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Windows Server 2016 Essentials 64bit PL OEM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48000000-8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>System operacyjny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zh-CN"/>
              </w:rPr>
            </w:pPr>
            <w:r>
              <w:rPr>
                <w:rFonts w:ascii="Calibri" w:hAnsi="Calibri" w:cs="Times New Roman"/>
                <w:color w:val="000000"/>
                <w:lang w:val="de-DE" w:eastAsia="zh-CN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lang w:val="de-DE" w:eastAsia="zh-CN"/>
              </w:rPr>
              <w:t xml:space="preserve">Microsoft Windows 10 Home PL 64bit OEM DVD  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val="de-DE" w:eastAsia="zh-CN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lang w:eastAsia="zh-CN"/>
              </w:rPr>
              <w:t>Architektura  64-bitowa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 xml:space="preserve"> Licencja  OEM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 xml:space="preserve"> Liczba użytkowników  1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lastRenderedPageBreak/>
              <w:t xml:space="preserve"> Liczba stanowisk  1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 xml:space="preserve"> Wersja językowa  Polska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 xml:space="preserve"> Nośnik  DVD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414042"/>
                <w:lang w:eastAsia="zh-CN"/>
              </w:rPr>
              <w:lastRenderedPageBreak/>
              <w:t>48000000-8</w:t>
            </w:r>
            <w:r>
              <w:rPr>
                <w:rFonts w:ascii="Calibri" w:hAnsi="Calibri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Budowlanka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Pakiet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biurowy</w:t>
            </w:r>
            <w:proofErr w:type="spellEnd"/>
          </w:p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Office Professional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Min.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Office Professional 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-wersja edukacyjna PL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-bez konieczności wykupywania subskrypcji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-licencja ważna bezterminowo</w:t>
            </w:r>
          </w:p>
          <w:p w:rsidR="00C24BC6" w:rsidRDefault="00F54F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-min. wersja 2016</w:t>
            </w:r>
          </w:p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-zawierająca programy min. Word, Excel,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cs="Times New Roman"/>
                <w:sz w:val="24"/>
                <w:szCs w:val="24"/>
              </w:rPr>
              <w:t>, Access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48000000-8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</w:tr>
      <w:tr w:rsidR="00C24BC6" w:rsidTr="00283CC9"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>Program antywirusowy</w:t>
            </w:r>
          </w:p>
        </w:tc>
        <w:tc>
          <w:tcPr>
            <w:tcW w:w="5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Program antywirusowy w</w:t>
            </w:r>
            <w:r>
              <w:rPr>
                <w:rFonts w:ascii="Calibri" w:hAnsi="Calibri" w:cs="Times New Roman"/>
                <w:color w:val="auto"/>
                <w:lang w:eastAsia="zh-CN"/>
              </w:rPr>
              <w:t xml:space="preserve"> polskiej wersji zapewniający skuteczną ochronę przed wirusami i oprogramowaniem szpiegującym.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alibri" w:hAnsi="Calibri" w:cs="Times New Roman"/>
                <w:color w:val="auto"/>
                <w:shd w:val="clear" w:color="auto" w:fill="FFFFFF"/>
              </w:rPr>
              <w:t>Program musi być zarządzany z poziomu konsoli centralnej administracji. Dzięki konsoli można wprowadzać dowolne polityki i reguły bezpieczeństwa, monitorować wyk</w:t>
            </w:r>
            <w:r>
              <w:rPr>
                <w:rFonts w:ascii="Calibri" w:hAnsi="Calibri" w:cs="Times New Roman"/>
                <w:color w:val="auto"/>
                <w:shd w:val="clear" w:color="auto" w:fill="FFFFFF"/>
              </w:rPr>
              <w:t>ryte zagrożenia i zarządzać wszystkim komputerami zdalnie z dowolnego komputera w sieci.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alibri" w:hAnsi="Calibri" w:cs="Times New Roman"/>
                <w:color w:val="auto"/>
                <w:shd w:val="clear" w:color="auto" w:fill="FFFFFF"/>
              </w:rPr>
              <w:t>Licencja na 2 lata. Licencja na 50 stanowisk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</w:rPr>
              <w:t>- możliwość zastosowania wersji edukacyjnej jeśli nie posiada ograniczeń funkcjonalnych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pStyle w:val="Normalny1"/>
              <w:snapToGrid w:val="0"/>
              <w:spacing w:after="0" w:line="240" w:lineRule="auto"/>
              <w:jc w:val="center"/>
              <w:rPr>
                <w:rFonts w:ascii="Calibri" w:hAnsi="Calibri" w:cs="Times New Roman"/>
                <w:color w:val="41404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x 50 licencji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RCKU i </w:t>
            </w:r>
            <w:r>
              <w:rPr>
                <w:rFonts w:cs="Times New Roman"/>
                <w:color w:val="000000"/>
                <w:sz w:val="24"/>
                <w:szCs w:val="24"/>
              </w:rPr>
              <w:t>Budowlanka</w:t>
            </w:r>
          </w:p>
        </w:tc>
      </w:tr>
      <w:tr w:rsidR="00403080" w:rsidTr="00343484">
        <w:tc>
          <w:tcPr>
            <w:tcW w:w="117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3080" w:rsidRPr="00283CC9" w:rsidRDefault="00403080" w:rsidP="00283CC9">
            <w:pPr>
              <w:snapToGri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3CC9">
              <w:rPr>
                <w:rFonts w:cs="Times New Roman"/>
                <w:b/>
                <w:color w:val="000000"/>
                <w:sz w:val="24"/>
                <w:szCs w:val="24"/>
              </w:rPr>
              <w:t>Łączna cena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w zł</w:t>
            </w:r>
            <w:r w:rsidRPr="00283CC9">
              <w:rPr>
                <w:rFonts w:cs="Times New Roman"/>
                <w:b/>
                <w:color w:val="000000"/>
                <w:sz w:val="24"/>
                <w:szCs w:val="24"/>
              </w:rPr>
              <w:t xml:space="preserve"> brutto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za I część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3080" w:rsidRDefault="00403080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C24BC6" w:rsidRDefault="00C24BC6">
      <w:pPr>
        <w:jc w:val="right"/>
        <w:rPr>
          <w:b/>
          <w:sz w:val="28"/>
          <w:szCs w:val="28"/>
        </w:rPr>
      </w:pPr>
    </w:p>
    <w:tbl>
      <w:tblPr>
        <w:tblpPr w:leftFromText="141" w:rightFromText="141" w:vertAnchor="text" w:tblpX="-111" w:tblpY="1"/>
        <w:tblW w:w="145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162"/>
        <w:gridCol w:w="1904"/>
        <w:gridCol w:w="6289"/>
        <w:gridCol w:w="1207"/>
        <w:gridCol w:w="1298"/>
        <w:gridCol w:w="1279"/>
        <w:gridCol w:w="1428"/>
      </w:tblGrid>
      <w:tr w:rsidR="00C24BC6" w:rsidTr="00283CC9">
        <w:trPr>
          <w:trHeight w:val="746"/>
        </w:trPr>
        <w:tc>
          <w:tcPr>
            <w:tcW w:w="145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 w:themeFill="text2" w:themeFillTint="66"/>
            <w:vAlign w:val="center"/>
          </w:tcPr>
          <w:p w:rsidR="00C24BC6" w:rsidRDefault="00283CC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wyposażenia</w:t>
            </w:r>
          </w:p>
        </w:tc>
      </w:tr>
      <w:tr w:rsidR="00C24BC6" w:rsidTr="00283CC9">
        <w:trPr>
          <w:trHeight w:val="746"/>
        </w:trPr>
        <w:tc>
          <w:tcPr>
            <w:tcW w:w="1456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3E2" w:themeFill="text2" w:themeFillTint="66"/>
            <w:vAlign w:val="center"/>
          </w:tcPr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II część</w:t>
            </w:r>
          </w:p>
          <w:p w:rsidR="00C24BC6" w:rsidRDefault="00F54F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Oprogramowanie komputerowe dla Zakładu Aktywności Zawodowej</w:t>
            </w:r>
            <w:bookmarkStart w:id="2" w:name="_Hlk531012887"/>
            <w:bookmarkEnd w:id="2"/>
          </w:p>
        </w:tc>
      </w:tr>
      <w:tr w:rsidR="00283CC9" w:rsidTr="00283CC9">
        <w:trPr>
          <w:trHeight w:val="148"/>
        </w:trPr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283CC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283CC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6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283CC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Opis i minimalne parametry</w:t>
            </w:r>
          </w:p>
        </w:tc>
        <w:tc>
          <w:tcPr>
            <w:tcW w:w="1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283CC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Kod CPV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283CC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Ilość sztuk/ zestawów</w:t>
            </w:r>
          </w:p>
        </w:tc>
        <w:tc>
          <w:tcPr>
            <w:tcW w:w="12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83CC9" w:rsidRDefault="00283CC9" w:rsidP="00525FB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Łączna cena brutto, tj. (Cena jednostkowa (brutto zł x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Ilość sztuk, zestawów= łączna cena brutto)</w:t>
            </w:r>
          </w:p>
        </w:tc>
        <w:tc>
          <w:tcPr>
            <w:tcW w:w="14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3CC9" w:rsidRDefault="00283CC9" w:rsidP="00525F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Uwagi</w:t>
            </w:r>
          </w:p>
        </w:tc>
      </w:tr>
      <w:tr w:rsidR="00C24BC6" w:rsidTr="00283CC9">
        <w:trPr>
          <w:trHeight w:val="148"/>
        </w:trPr>
        <w:tc>
          <w:tcPr>
            <w:tcW w:w="11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 xml:space="preserve">Oprogramowanie </w:t>
            </w:r>
            <w:r>
              <w:rPr>
                <w:rFonts w:ascii="Calibri" w:hAnsi="Calibri" w:cs="Times New Roman"/>
                <w:color w:val="000000"/>
                <w:lang w:eastAsia="zh-CN"/>
              </w:rPr>
              <w:t>księgowe</w:t>
            </w:r>
          </w:p>
        </w:tc>
        <w:tc>
          <w:tcPr>
            <w:tcW w:w="62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Program do prowadzenia pełniej księgowości (księgowość kontowa) zgodnie i w oparciu o Ustawę o rachunkowości, umożliwiający m.in.: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tworzenie okresów obrachunkowych;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stworzenie wielopoziomowego planu kont;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księgowanie do jednego lub wielu dzi</w:t>
            </w:r>
            <w:r>
              <w:rPr>
                <w:rFonts w:ascii="Calibri" w:hAnsi="Calibri" w:cs="Times New Roman"/>
                <w:color w:val="auto"/>
                <w:lang w:eastAsia="zh-CN"/>
              </w:rPr>
              <w:t>enników cząstkowych;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generowanie zestawienia obrotów i sald za dowolny okres;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wykorzystanie schematów księgowych do automatycznego księgowania wszystkich dokumentów oraz deklaracji;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lastRenderedPageBreak/>
              <w:t xml:space="preserve">- prowadzenie pełnej ewidencji VAT oraz wydruk deklaracji VAT i </w:t>
            </w:r>
            <w:r>
              <w:rPr>
                <w:rFonts w:ascii="Calibri" w:hAnsi="Calibri" w:cs="Times New Roman"/>
                <w:color w:val="auto"/>
                <w:lang w:eastAsia="zh-CN"/>
              </w:rPr>
              <w:t>wysyłanie deklaracji do systemu e-Deklaracji;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rozliczanie VAT na zasadach ogólnych oraz metodą kasową;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obliczanie zaliczek na: PIT-36, PIT 36L, CIT-8;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obliczanie i wysyłanie drogą elektroniczną deklaracji rocznych;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inicjalizację bilansu otwarcia na</w:t>
            </w:r>
            <w:r>
              <w:rPr>
                <w:rFonts w:ascii="Calibri" w:hAnsi="Calibri" w:cs="Times New Roman"/>
                <w:color w:val="auto"/>
                <w:lang w:eastAsia="zh-CN"/>
              </w:rPr>
              <w:t xml:space="preserve"> podstawie sald kont roku poprzedniego;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oddzielne ewidencjonowanie dokumentów, które nie są fakturami VAT;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księgowanie dokumentów bezpośrednio z innych modułów;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tworzenie zestawień księgowych;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tworzenie opisu analitycznego dla dokumentów;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lastRenderedPageBreak/>
              <w:t>- automat</w:t>
            </w:r>
            <w:r>
              <w:rPr>
                <w:rFonts w:ascii="Calibri" w:hAnsi="Calibri" w:cs="Times New Roman"/>
                <w:color w:val="auto"/>
                <w:lang w:eastAsia="zh-CN"/>
              </w:rPr>
              <w:t>yczną internetową wymianę dokumentów;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 xml:space="preserve">- tworzenie i wysyłanie plików JPK (VAT, KR, </w:t>
            </w:r>
            <w:proofErr w:type="spellStart"/>
            <w:r>
              <w:rPr>
                <w:rFonts w:ascii="Calibri" w:hAnsi="Calibri" w:cs="Times New Roman"/>
                <w:color w:val="auto"/>
                <w:lang w:eastAsia="zh-CN"/>
              </w:rPr>
              <w:t>PKPiR</w:t>
            </w:r>
            <w:proofErr w:type="spellEnd"/>
            <w:r>
              <w:rPr>
                <w:rFonts w:ascii="Calibri" w:hAnsi="Calibri" w:cs="Times New Roman"/>
                <w:color w:val="auto"/>
                <w:lang w:eastAsia="zh-CN"/>
              </w:rPr>
              <w:t>, EWP, WB, FA, MAG) do Urzędu Skarbowego;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scalanie plików JPK_VAT;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prowadzenie rozliczeń przy użyciu mechanizmu podzielnej płatności;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wystawianie faktur sprzedażo</w:t>
            </w:r>
            <w:r>
              <w:rPr>
                <w:rFonts w:ascii="Calibri" w:hAnsi="Calibri" w:cs="Times New Roman"/>
                <w:color w:val="auto"/>
                <w:lang w:eastAsia="zh-CN"/>
              </w:rPr>
              <w:t>wych;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generowanie planu amortyzacji dl wybranego okresu obrachunkowego;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zastosowanie różnych metod amortyzacji;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prowadzenie ewidencji wyposażenia;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automatyczne księgowanie miesięcznych odpisów amortyzacyjnych i innych dokumentów środków trwałych;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lastRenderedPageBreak/>
              <w:t>-</w:t>
            </w:r>
            <w:r>
              <w:rPr>
                <w:rFonts w:ascii="Calibri" w:hAnsi="Calibri" w:cs="Times New Roman"/>
                <w:color w:val="auto"/>
                <w:lang w:eastAsia="zh-CN"/>
              </w:rPr>
              <w:t xml:space="preserve"> ujęcie amortyzacji w aspekcie bilansowym i podatkowym dla środków trwałych i wartości materialnych i prawnych;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ewidencję środków trwałych będących w budowie;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przypisanie osób odpowiedzialnych za poszczególne środki trwałe oraz miejsca ich użytkowania.</w:t>
            </w:r>
          </w:p>
        </w:tc>
        <w:tc>
          <w:tcPr>
            <w:tcW w:w="1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pStyle w:val="Normalny1"/>
              <w:snapToGrid w:val="0"/>
              <w:spacing w:after="0" w:line="240" w:lineRule="auto"/>
              <w:jc w:val="center"/>
              <w:rPr>
                <w:rFonts w:ascii="Calibri" w:hAnsi="Calibri" w:cs="Times New Roman"/>
                <w:color w:val="414042"/>
                <w:lang w:eastAsia="zh-CN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14042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414042"/>
                <w:lang w:eastAsia="zh-CN"/>
              </w:rPr>
              <w:t>2 stanowiska</w:t>
            </w:r>
          </w:p>
        </w:tc>
        <w:tc>
          <w:tcPr>
            <w:tcW w:w="12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ZAZ</w:t>
            </w:r>
          </w:p>
        </w:tc>
      </w:tr>
      <w:tr w:rsidR="00C24BC6" w:rsidTr="00283CC9">
        <w:trPr>
          <w:trHeight w:val="839"/>
        </w:trPr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>Oprogramowanie kadry i płace</w:t>
            </w:r>
          </w:p>
        </w:tc>
        <w:tc>
          <w:tcPr>
            <w:tcW w:w="6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Program, powinien umożliwiać m.in.: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ewidencję pracowników z możliwością odnotowania przebiegu zatrudnienia w firmie oraz poza nią;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 xml:space="preserve">- rozliczanie wypłat z uwzględnieniem nieobecności, czasu pracy, </w:t>
            </w:r>
            <w:r>
              <w:rPr>
                <w:rFonts w:ascii="Calibri" w:hAnsi="Calibri" w:cs="Times New Roman"/>
                <w:color w:val="auto"/>
                <w:lang w:eastAsia="zh-CN"/>
              </w:rPr>
              <w:t>dodatków oraz akordów;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możliwość zaimportowania danych kadrowych pracowników z Programu Płatnik (na podstawie ZUS ZUA);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 xml:space="preserve">- rozliczanie nieobecności z możliwością wydrukowania </w:t>
            </w:r>
            <w:r>
              <w:rPr>
                <w:rFonts w:ascii="Calibri" w:hAnsi="Calibri" w:cs="Times New Roman"/>
                <w:color w:val="auto"/>
                <w:lang w:eastAsia="zh-CN"/>
              </w:rPr>
              <w:lastRenderedPageBreak/>
              <w:t>podstaw obliczeniowych dla urlopu, choroby , ekwiwalentu za urlop;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kontrolę wy</w:t>
            </w:r>
            <w:r>
              <w:rPr>
                <w:rFonts w:ascii="Calibri" w:hAnsi="Calibri" w:cs="Times New Roman"/>
                <w:color w:val="auto"/>
                <w:lang w:eastAsia="zh-CN"/>
              </w:rPr>
              <w:t>korzystania limitów nieobecności przez pracownika;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definiowanie niestandardowych składników wypłat, nieobecności oraz limitów nieobecności;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korekty do zaksięgowanych list płac z możliwością zachowania w programie wypłat naliczonych w pierwotnej postaci</w:t>
            </w:r>
            <w:r>
              <w:rPr>
                <w:rFonts w:ascii="Calibri" w:hAnsi="Calibri" w:cs="Times New Roman"/>
                <w:color w:val="auto"/>
                <w:lang w:eastAsia="zh-CN"/>
              </w:rPr>
              <w:t>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powiązanie dodatków i umów cywilnoprawnych z listami płac;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podział wynagrodzenia pracownika na wypłatę gotówkową i/lub przelew na konto bankowe;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lastRenderedPageBreak/>
              <w:t>- wysyłanie deklaracji podatkowych do systemu e-Deklaracje;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 xml:space="preserve">- naliczanie i wydruk deklaracji podatkowych </w:t>
            </w:r>
            <w:r>
              <w:rPr>
                <w:rFonts w:ascii="Calibri" w:hAnsi="Calibri" w:cs="Times New Roman"/>
                <w:color w:val="auto"/>
                <w:lang w:eastAsia="zh-CN"/>
              </w:rPr>
              <w:t>zgodnych z obowiązującymi wzorami formularzy;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sporządzanie deklaracji dla PFORN (</w:t>
            </w:r>
            <w:proofErr w:type="spellStart"/>
            <w:r>
              <w:rPr>
                <w:rFonts w:ascii="Calibri" w:hAnsi="Calibri" w:cs="Times New Roman"/>
                <w:color w:val="auto"/>
                <w:lang w:eastAsia="zh-CN"/>
              </w:rPr>
              <w:t>Wn</w:t>
            </w:r>
            <w:proofErr w:type="spellEnd"/>
            <w:r>
              <w:rPr>
                <w:rFonts w:ascii="Calibri" w:hAnsi="Calibri" w:cs="Times New Roman"/>
                <w:color w:val="auto"/>
                <w:lang w:eastAsia="zh-CN"/>
              </w:rPr>
              <w:t>-D wraz z załącznikami);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tworzenie i przesyłanie do Programu Płatnik formularzy zgłoszeniowych oraz deklaracji rozliczeniowych ZUS dla pracowników i właścicieli wraz z w</w:t>
            </w:r>
            <w:r>
              <w:rPr>
                <w:rFonts w:ascii="Calibri" w:hAnsi="Calibri" w:cs="Times New Roman"/>
                <w:color w:val="auto"/>
                <w:lang w:eastAsia="zh-CN"/>
              </w:rPr>
              <w:t>ymaganymi załącznikami.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pStyle w:val="Normalny1"/>
              <w:snapToGrid w:val="0"/>
              <w:spacing w:after="0" w:line="240" w:lineRule="auto"/>
              <w:jc w:val="center"/>
              <w:rPr>
                <w:rFonts w:ascii="Calibri" w:hAnsi="Calibri" w:cs="Times New Roman"/>
                <w:color w:val="414042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414042"/>
                <w:sz w:val="24"/>
                <w:szCs w:val="24"/>
              </w:rPr>
              <w:t>1 stanowisko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ZAZ</w:t>
            </w:r>
          </w:p>
        </w:tc>
      </w:tr>
      <w:tr w:rsidR="00C24BC6" w:rsidTr="00283CC9">
        <w:trPr>
          <w:trHeight w:val="1173"/>
        </w:trPr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>Pakiet biurowy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 xml:space="preserve">Office 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>Home and Business</w:t>
            </w:r>
          </w:p>
        </w:tc>
        <w:tc>
          <w:tcPr>
            <w:tcW w:w="6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wersja komercyjna;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bez konieczności wykupywania subskrypcji;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licencja ważna bezterminowo;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wersja min. 2016 PL;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- zawiera min. Word, Excel, PowerPoint.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pStyle w:val="Normalny1"/>
              <w:snapToGrid w:val="0"/>
              <w:spacing w:after="0" w:line="240" w:lineRule="auto"/>
              <w:jc w:val="center"/>
              <w:rPr>
                <w:rFonts w:ascii="Calibri" w:hAnsi="Calibri" w:cs="Times New Roman"/>
                <w:color w:val="414042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14042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414042"/>
                <w:lang w:eastAsia="zh-CN"/>
              </w:rPr>
              <w:t xml:space="preserve">5 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14042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414042"/>
                <w:lang w:eastAsia="zh-CN"/>
              </w:rPr>
              <w:t>stanowisk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ZAZ</w:t>
            </w:r>
          </w:p>
        </w:tc>
      </w:tr>
      <w:tr w:rsidR="00C24BC6" w:rsidTr="00283CC9">
        <w:trPr>
          <w:trHeight w:val="2125"/>
        </w:trPr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000000"/>
                <w:lang w:eastAsia="zh-CN"/>
              </w:rPr>
              <w:t>Program antywirusowy</w:t>
            </w:r>
          </w:p>
        </w:tc>
        <w:tc>
          <w:tcPr>
            <w:tcW w:w="6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auto"/>
                <w:lang w:eastAsia="zh-CN"/>
              </w:rPr>
              <w:t>Program antywirusowy w polskiej wersji zapewniający skuteczną ochronę przed wirusami i oprogramowaniem szpiegującym.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alibri" w:hAnsi="Calibri" w:cs="Times New Roman"/>
                <w:color w:val="auto"/>
                <w:shd w:val="clear" w:color="auto" w:fill="FFFFFF"/>
              </w:rPr>
              <w:t xml:space="preserve">- program musi być zarządzany z poziomu konsoli centralnej administracji. Dzięki konsoli można </w:t>
            </w:r>
            <w:r>
              <w:rPr>
                <w:rFonts w:ascii="Calibri" w:hAnsi="Calibri" w:cs="Times New Roman"/>
                <w:color w:val="auto"/>
                <w:shd w:val="clear" w:color="auto" w:fill="FFFFFF"/>
              </w:rPr>
              <w:t>wprowadzać dowolne polityki i reguły bezpieczeństwa, monitorować wykryte zagrożenia i zarządzać wszystkim komputerami zdalnie z dowolnego komputera w sieci.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alibri" w:hAnsi="Calibri" w:cs="Times New Roman"/>
                <w:color w:val="auto"/>
                <w:shd w:val="clear" w:color="auto" w:fill="FFFFFF"/>
              </w:rPr>
              <w:t>- licencja na 2 lata;</w:t>
            </w:r>
          </w:p>
          <w:p w:rsidR="00C24BC6" w:rsidRDefault="00F54FA4">
            <w:pPr>
              <w:pStyle w:val="Normalny1"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alibri" w:hAnsi="Calibri" w:cs="Times New Roman"/>
                <w:color w:val="auto"/>
                <w:shd w:val="clear" w:color="auto" w:fill="FFFFFF"/>
              </w:rPr>
              <w:t>- licencja na 10 stanowisk.</w:t>
            </w:r>
          </w:p>
          <w:p w:rsidR="00C24BC6" w:rsidRDefault="00C24BC6">
            <w:pPr>
              <w:pStyle w:val="Normalny1"/>
              <w:snapToGrid w:val="0"/>
              <w:spacing w:after="0" w:line="240" w:lineRule="auto"/>
              <w:rPr>
                <w:rFonts w:ascii="Calibri" w:hAnsi="Calibri" w:cs="Times New Roman"/>
                <w:color w:val="auto"/>
                <w:lang w:eastAsia="zh-CN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C24BC6">
            <w:pPr>
              <w:pStyle w:val="Normalny1"/>
              <w:snapToGrid w:val="0"/>
              <w:spacing w:after="0" w:line="240" w:lineRule="auto"/>
              <w:jc w:val="center"/>
              <w:rPr>
                <w:rFonts w:ascii="Calibri" w:hAnsi="Calibri" w:cs="Times New Roman"/>
                <w:color w:val="414042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414042"/>
                <w:sz w:val="20"/>
                <w:szCs w:val="20"/>
                <w:lang w:eastAsia="zh-CN"/>
              </w:rPr>
            </w:pPr>
            <w:r>
              <w:rPr>
                <w:rFonts w:ascii="Calibri" w:hAnsi="Calibri" w:cs="Times New Roman"/>
                <w:color w:val="414042"/>
                <w:lang w:eastAsia="zh-CN"/>
              </w:rPr>
              <w:t>10 stanowisk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24BC6" w:rsidRDefault="00C24BC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4BC6" w:rsidRDefault="00F54F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ZAZ</w:t>
            </w:r>
            <w:bookmarkStart w:id="3" w:name="_Hlk531012838"/>
            <w:bookmarkEnd w:id="3"/>
          </w:p>
        </w:tc>
      </w:tr>
      <w:tr w:rsidR="00403080" w:rsidTr="00F46BD6">
        <w:trPr>
          <w:trHeight w:val="2125"/>
        </w:trPr>
        <w:tc>
          <w:tcPr>
            <w:tcW w:w="118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3080" w:rsidRPr="00403080" w:rsidRDefault="00403080" w:rsidP="00403080">
            <w:pPr>
              <w:pStyle w:val="Normalny1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color w:val="414042"/>
                <w:lang w:eastAsia="zh-CN"/>
              </w:rPr>
            </w:pPr>
            <w:r w:rsidRPr="00403080">
              <w:rPr>
                <w:rFonts w:ascii="Calibri" w:hAnsi="Calibri" w:cs="Times New Roman"/>
                <w:b/>
                <w:color w:val="414042"/>
                <w:lang w:eastAsia="zh-CN"/>
              </w:rPr>
              <w:lastRenderedPageBreak/>
              <w:t>Łącz</w:t>
            </w:r>
            <w:r>
              <w:rPr>
                <w:rFonts w:ascii="Calibri" w:hAnsi="Calibri" w:cs="Times New Roman"/>
                <w:b/>
                <w:color w:val="414042"/>
                <w:lang w:eastAsia="zh-CN"/>
              </w:rPr>
              <w:t>na cena  w zł brutto za II część</w:t>
            </w:r>
          </w:p>
        </w:tc>
        <w:tc>
          <w:tcPr>
            <w:tcW w:w="2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3080" w:rsidRDefault="00403080">
            <w:pPr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</w:tc>
      </w:tr>
    </w:tbl>
    <w:p w:rsidR="00C24BC6" w:rsidRDefault="00F54FA4">
      <w:pPr>
        <w:jc w:val="right"/>
      </w:pPr>
      <w:r>
        <w:rPr>
          <w:b/>
          <w:sz w:val="28"/>
          <w:szCs w:val="28"/>
        </w:rPr>
        <w:br/>
      </w:r>
    </w:p>
    <w:p w:rsidR="00C24BC6" w:rsidRDefault="00C24BC6">
      <w:pPr>
        <w:jc w:val="right"/>
        <w:rPr>
          <w:b/>
          <w:sz w:val="28"/>
          <w:szCs w:val="28"/>
        </w:rPr>
      </w:pPr>
    </w:p>
    <w:p w:rsidR="00C24BC6" w:rsidRDefault="00C24BC6">
      <w:pPr>
        <w:jc w:val="right"/>
      </w:pPr>
    </w:p>
    <w:sectPr w:rsidR="00C24BC6">
      <w:headerReference w:type="default" r:id="rId9"/>
      <w:footerReference w:type="default" r:id="rId10"/>
      <w:pgSz w:w="16838" w:h="11906" w:orient="landscape"/>
      <w:pgMar w:top="814" w:right="1467" w:bottom="830" w:left="1361" w:header="709" w:footer="773" w:gutter="0"/>
      <w:cols w:space="708"/>
      <w:formProt w:val="0"/>
      <w:docGrid w:linePitch="326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A4" w:rsidRDefault="00F54FA4">
      <w:pPr>
        <w:spacing w:after="0" w:line="240" w:lineRule="auto"/>
      </w:pPr>
      <w:r>
        <w:separator/>
      </w:r>
    </w:p>
  </w:endnote>
  <w:endnote w:type="continuationSeparator" w:id="0">
    <w:p w:rsidR="00F54FA4" w:rsidRDefault="00F5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;sans-seri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C6" w:rsidRDefault="00F54FA4">
    <w:pPr>
      <w:pStyle w:val="Nagwek10"/>
      <w:pBdr>
        <w:top w:val="single" w:sz="4" w:space="1" w:color="00000A"/>
      </w:pBdr>
      <w:tabs>
        <w:tab w:val="left" w:pos="708"/>
        <w:tab w:val="center" w:pos="4536"/>
        <w:tab w:val="right" w:pos="9072"/>
      </w:tabs>
      <w:jc w:val="center"/>
      <w:rPr>
        <w:bCs/>
        <w:sz w:val="16"/>
        <w:szCs w:val="16"/>
      </w:rPr>
    </w:pPr>
    <w:r>
      <w:rPr>
        <w:bCs/>
        <w:sz w:val="16"/>
        <w:szCs w:val="16"/>
      </w:rPr>
      <w:t>Projekt pn.:</w:t>
    </w:r>
    <w:r>
      <w:rPr>
        <w:sz w:val="16"/>
        <w:szCs w:val="16"/>
      </w:rPr>
      <w:t xml:space="preserve"> „Wiedza oparta na praktyce – modernizacja kształcenia zawodowego w powiecie wałeckim”  </w:t>
    </w:r>
    <w:r>
      <w:rPr>
        <w:bCs/>
        <w:sz w:val="16"/>
        <w:szCs w:val="16"/>
      </w:rPr>
      <w:br/>
    </w:r>
    <w:r>
      <w:rPr>
        <w:bCs/>
        <w:sz w:val="16"/>
        <w:szCs w:val="16"/>
      </w:rPr>
      <w:t xml:space="preserve">współfinansowany ze środków Unii Europejskiej z Europejskiego Funduszu Społecznego i budżetu państwa w ramach Regionalnego Programu Operacyjnego Województwa Zachodniopomorskiego 2014-2020 </w:t>
    </w:r>
    <w:r>
      <w:rPr>
        <w:bCs/>
        <w:sz w:val="16"/>
        <w:szCs w:val="16"/>
      </w:rPr>
      <w:br/>
      <w:t>Oś Priorytetowa 8 Edukacja  Działanie 8.9 Wsparcie szkół i placówek</w:t>
    </w:r>
    <w:r>
      <w:rPr>
        <w:bCs/>
        <w:sz w:val="16"/>
        <w:szCs w:val="16"/>
      </w:rPr>
      <w:t xml:space="preserve"> prowadzących kształcenie zawodowe oraz uczniów uczestniczących w kształceniu zawodowym </w:t>
    </w:r>
    <w:r>
      <w:rPr>
        <w:bCs/>
        <w:sz w:val="16"/>
        <w:szCs w:val="16"/>
      </w:rPr>
      <w:br/>
      <w:t>i osób dorosłych uczestniczących w pozaszkolnych formach kształcenia zawodowego w ramach Kontraktów Samorządowych</w:t>
    </w:r>
  </w:p>
  <w:p w:rsidR="00C24BC6" w:rsidRDefault="00F54FA4">
    <w:pPr>
      <w:pStyle w:val="Stopka"/>
      <w:spacing w:after="198" w:line="240" w:lineRule="auto"/>
      <w:ind w:right="363"/>
      <w:jc w:val="center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696585" cy="13335"/>
              <wp:effectExtent l="0" t="0" r="0" b="0"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5920" cy="126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gray" stroked="f" style="position:absolute;margin-left:0pt;margin-top:-1.05pt;width:448.45pt;height:0.95pt;mso-position-horizontal:center;mso-position-vertical:top">
              <w10:wrap type="none"/>
              <v:fill o:detectmouseclick="t" type="solid" color2="#7f7f7f"/>
              <v:stroke color="#3465a4" joinstyle="round" endcap="flat"/>
            </v:rect>
          </w:pict>
        </mc:Fallback>
      </mc:AlternateContent>
    </w:r>
    <w:r>
      <w:rPr>
        <w:rFonts w:ascii="Arial" w:eastAsiaTheme="minorHAnsi" w:hAnsi="Arial" w:cs="Arial"/>
        <w:bCs/>
        <w:color w:val="auto"/>
        <w:sz w:val="16"/>
        <w:szCs w:val="16"/>
        <w:lang w:eastAsia="en-US"/>
      </w:rPr>
      <w:t xml:space="preserve"> </w:t>
    </w:r>
  </w:p>
  <w:p w:rsidR="00C24BC6" w:rsidRDefault="00F54FA4">
    <w:pPr>
      <w:pStyle w:val="Stopka"/>
      <w:spacing w:after="198" w:line="240" w:lineRule="auto"/>
      <w:ind w:right="363"/>
      <w:jc w:val="center"/>
      <w:rPr>
        <w:rFonts w:asciiTheme="minorHAnsi" w:eastAsiaTheme="minorHAnsi" w:hAnsiTheme="minorHAnsi" w:cstheme="minorHAnsi"/>
        <w:bCs/>
        <w:color w:val="auto"/>
        <w:sz w:val="16"/>
        <w:szCs w:val="16"/>
        <w:u w:val="single"/>
        <w:lang w:eastAsia="en-US"/>
      </w:rPr>
    </w:pPr>
    <w:r>
      <w:rPr>
        <w:rFonts w:eastAsiaTheme="minorHAnsi" w:cstheme="minorHAnsi"/>
        <w:bCs/>
        <w:color w:val="auto"/>
        <w:sz w:val="16"/>
        <w:szCs w:val="16"/>
        <w:lang w:eastAsia="en-US"/>
      </w:rPr>
      <w:t xml:space="preserve">Projekt  współfinansowany przez Unię Europejską z </w:t>
    </w:r>
    <w:r>
      <w:rPr>
        <w:rFonts w:eastAsiaTheme="minorHAnsi" w:cstheme="minorHAnsi"/>
        <w:bCs/>
        <w:color w:val="auto"/>
        <w:sz w:val="16"/>
        <w:szCs w:val="16"/>
        <w:lang w:eastAsia="en-US"/>
      </w:rPr>
      <w:t>Europejskiego Funduszu Rozwoju Regionalnego w ramach Regionalnego Programu Operacyjnego  Województwa Zachodniopomorskiego na lata 2014-2020 Oś Priorytetowa 9.Infrastruktura publiczna Działanie 9.2. Infrastruktura społeczna</w:t>
    </w:r>
  </w:p>
  <w:p w:rsidR="00C24BC6" w:rsidRDefault="00F54FA4">
    <w:pPr>
      <w:pStyle w:val="Stopka"/>
      <w:ind w:right="360"/>
      <w:jc w:val="center"/>
      <w:rPr>
        <w:rFonts w:asciiTheme="minorHAnsi" w:eastAsiaTheme="minorHAnsi" w:hAnsiTheme="minorHAnsi" w:cstheme="minorHAnsi"/>
        <w:bCs/>
        <w:color w:val="auto"/>
        <w:sz w:val="16"/>
        <w:szCs w:val="16"/>
        <w:lang w:eastAsia="en-US"/>
      </w:rPr>
    </w:pPr>
    <w:r>
      <w:rPr>
        <w:rFonts w:eastAsiaTheme="minorHAnsi" w:cstheme="minorHAnsi"/>
        <w:bCs/>
        <w:color w:val="auto"/>
        <w:sz w:val="16"/>
        <w:szCs w:val="16"/>
        <w:lang w:eastAsia="en-US"/>
      </w:rPr>
      <w:t xml:space="preserve">Projekt pn.: “Moje kompetencje – </w:t>
    </w:r>
    <w:r>
      <w:rPr>
        <w:rFonts w:eastAsiaTheme="minorHAnsi" w:cstheme="minorHAnsi"/>
        <w:bCs/>
        <w:color w:val="auto"/>
        <w:sz w:val="16"/>
        <w:szCs w:val="16"/>
        <w:lang w:eastAsia="en-US"/>
      </w:rPr>
      <w:t>otwarte wrota do kariery - podniesienie jakości i efektywności kształcenia w zakresie kompetencji kluczowych uczniów liceów ogólnokształcących w powiecie wałeckim” współfinansowany przez Unię Europejską z  Europejskiego Funduszu Społecznego oraz budżetu pa</w:t>
    </w:r>
    <w:r>
      <w:rPr>
        <w:rFonts w:eastAsiaTheme="minorHAnsi" w:cstheme="minorHAnsi"/>
        <w:bCs/>
        <w:color w:val="auto"/>
        <w:sz w:val="16"/>
        <w:szCs w:val="16"/>
        <w:lang w:eastAsia="en-US"/>
      </w:rPr>
      <w:t>ństwa w ramach Regionalnego Programu Operacyjnego Województwa Zachodniopomorskiego 2014-2020  Oś Priorytetowa 8 Edukacja  Działanie 8.5 Upowszechnianie edukacji przedszkolnej oraz wsparcie szkół i placówek prowadzących kształcenie ogólne oraz uczniów uczes</w:t>
    </w:r>
    <w:r>
      <w:rPr>
        <w:rFonts w:eastAsiaTheme="minorHAnsi" w:cstheme="minorHAnsi"/>
        <w:bCs/>
        <w:color w:val="auto"/>
        <w:sz w:val="16"/>
        <w:szCs w:val="16"/>
        <w:lang w:eastAsia="en-US"/>
      </w:rPr>
      <w:t>tniczących w kształceniu podstawowym, gimnazjalnym i ponadgimnazjalnym w ramach Kontraktów Samorządowych</w:t>
    </w:r>
  </w:p>
  <w:p w:rsidR="00C24BC6" w:rsidRDefault="00C24BC6">
    <w:pPr>
      <w:pStyle w:val="Nagwek10"/>
      <w:pBdr>
        <w:top w:val="single" w:sz="4" w:space="1" w:color="00000A"/>
      </w:pBdr>
      <w:tabs>
        <w:tab w:val="left" w:pos="708"/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A4" w:rsidRDefault="00F54FA4">
      <w:pPr>
        <w:spacing w:after="0" w:line="240" w:lineRule="auto"/>
      </w:pPr>
      <w:r>
        <w:separator/>
      </w:r>
    </w:p>
  </w:footnote>
  <w:footnote w:type="continuationSeparator" w:id="0">
    <w:p w:rsidR="00F54FA4" w:rsidRDefault="00F5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C6" w:rsidRDefault="00F54FA4">
    <w:pPr>
      <w:pStyle w:val="Nagwek10"/>
      <w:tabs>
        <w:tab w:val="center" w:pos="4536"/>
        <w:tab w:val="center" w:pos="7005"/>
        <w:tab w:val="right" w:pos="9072"/>
        <w:tab w:val="left" w:pos="11715"/>
      </w:tabs>
      <w:jc w:val="center"/>
    </w:pPr>
    <w:r>
      <w:rPr>
        <w:noProof/>
        <w:lang w:eastAsia="pl-PL"/>
      </w:rPr>
      <w:drawing>
        <wp:inline distT="0" distB="0" distL="0" distR="0">
          <wp:extent cx="5343525" cy="5715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166360" cy="575945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16636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9D0"/>
    <w:multiLevelType w:val="multilevel"/>
    <w:tmpl w:val="3F064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084688"/>
    <w:multiLevelType w:val="multilevel"/>
    <w:tmpl w:val="37760DB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C6"/>
    <w:rsid w:val="00283CC9"/>
    <w:rsid w:val="00403080"/>
    <w:rsid w:val="00C24BC6"/>
    <w:rsid w:val="00F5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StopkaZnak">
    <w:name w:val="Stopka Znak"/>
    <w:basedOn w:val="Domylnaczcionkaakapitu"/>
    <w:link w:val="Stopka"/>
    <w:qFormat/>
    <w:rsid w:val="007D3953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StopkaZnak">
    <w:name w:val="Stopka Znak"/>
    <w:basedOn w:val="Domylnaczcionkaakapitu"/>
    <w:link w:val="Stopka"/>
    <w:qFormat/>
    <w:rsid w:val="007D3953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A304-DEA0-4344-A888-33CF5BC1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2314Z na odcinku Stacja PKP Strączno - m</vt:lpstr>
    </vt:vector>
  </TitlesOfParts>
  <Company>Starostwo Powiatowe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2314Z na odcinku Stacja PKP Strączno - m</dc:title>
  <dc:creator>Starostwo Powiatowe</dc:creator>
  <cp:lastModifiedBy>Użytkownik systemu Windows</cp:lastModifiedBy>
  <cp:revision>2</cp:revision>
  <dcterms:created xsi:type="dcterms:W3CDTF">2018-12-06T20:59:00Z</dcterms:created>
  <dcterms:modified xsi:type="dcterms:W3CDTF">2018-12-06T20:59:00Z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