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9" w:rsidRDefault="00FD6C37" w:rsidP="00FD6C37">
      <w:pPr>
        <w:pStyle w:val="Default"/>
        <w:tabs>
          <w:tab w:val="left" w:pos="1486"/>
          <w:tab w:val="center" w:pos="7005"/>
          <w:tab w:val="left" w:pos="8895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  <w:t>Wykaz wyposażenia (załącznik do oferty)</w:t>
      </w:r>
    </w:p>
    <w:tbl>
      <w:tblPr>
        <w:tblW w:w="14416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46"/>
        <w:gridCol w:w="1868"/>
        <w:gridCol w:w="6236"/>
        <w:gridCol w:w="1203"/>
        <w:gridCol w:w="1275"/>
        <w:gridCol w:w="1271"/>
        <w:gridCol w:w="1417"/>
      </w:tblGrid>
      <w:tr w:rsidR="00747D99">
        <w:tc>
          <w:tcPr>
            <w:tcW w:w="129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CC2E5"/>
            <w:tcMar>
              <w:left w:w="83" w:type="dxa"/>
            </w:tcMar>
          </w:tcPr>
          <w:p w:rsidR="00747D99" w:rsidRDefault="00AC437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Dostawa wyposażenia pracowni szkolnych: </w:t>
            </w:r>
            <w:bookmarkStart w:id="0" w:name="__DdeLink__560_3271588893"/>
            <w:bookmarkEnd w:id="0"/>
            <w:r w:rsidR="00FD6C37">
              <w:rPr>
                <w:rFonts w:eastAsia="Times New Roman" w:cstheme="minorHAnsi"/>
                <w:b/>
                <w:sz w:val="32"/>
                <w:szCs w:val="32"/>
              </w:rPr>
              <w:t>Zakup i dostawa oprogramowania komputerowego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3" w:type="dxa"/>
            </w:tcMar>
          </w:tcPr>
          <w:p w:rsidR="00747D99" w:rsidRDefault="00747D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FD6C3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Łączna cena brutto, tj. (Cena jednostkowa (brutto zł x Ilość sztuk, zestawów= łączna cena brutto)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FD6C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Uwagi</w:t>
            </w: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Program Gastro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Chef</w:t>
            </w:r>
            <w:proofErr w:type="spellEnd"/>
          </w:p>
          <w:p w:rsidR="00747D99" w:rsidRDefault="00747D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7D99" w:rsidRDefault="00747D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7D99" w:rsidRDefault="00747D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176BF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AC4379">
              <w:rPr>
                <w:rFonts w:cstheme="minorHAnsi"/>
                <w:color w:val="000000"/>
                <w:sz w:val="20"/>
                <w:szCs w:val="20"/>
              </w:rPr>
              <w:t>ozliczenia magazynów i zużycia surowców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-kontrola kosztów – Food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Cost</w:t>
            </w:r>
            <w:proofErr w:type="spellEnd"/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-rozliczenia produkcji gastronomicznej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-zaawansowana obsługa zamówień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-inwentaryzacje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-zdalne ustalanie rabatów i promocji widocznych w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POSie</w:t>
            </w:r>
            <w:proofErr w:type="spellEnd"/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-planowanie imprez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-wystawianie faktur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-przejrzyste raporty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-obsługa gastronomii zamkniętej</w:t>
            </w:r>
          </w:p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-eksport danych do innych systemów -Możliwość pracy również w najnowszych systemach operacyjnych, VISTA i WINDOWS 7/8.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komputerowy do projektowania instalacji</w:t>
            </w:r>
          </w:p>
          <w:p w:rsidR="00747D99" w:rsidRDefault="00747D9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GstarCAD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Profesional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4 lata </w:t>
            </w:r>
          </w:p>
          <w:p w:rsidR="00747D99" w:rsidRDefault="00AC4379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GVSol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Pro 5.5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do kosztorysowania instalacji OZE,</w:t>
            </w:r>
          </w:p>
          <w:p w:rsidR="00747D99" w:rsidRDefault="00747D99">
            <w:pPr>
              <w:pStyle w:val="Tekstpodstawowy1"/>
              <w:snapToGrid w:val="0"/>
              <w:spacing w:before="24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Mocnowyrniony"/>
                <w:rFonts w:cstheme="minorHAnsi"/>
                <w:b w:val="0"/>
                <w:color w:val="000000"/>
                <w:sz w:val="20"/>
                <w:szCs w:val="20"/>
              </w:rPr>
              <w:t>Norma STANDARD 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Program do obsługi gości hotelowych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do obsługi gości hotelowych „Chart” lub „Fidelio”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Optima</w:t>
            </w:r>
          </w:p>
          <w:p w:rsidR="00747D99" w:rsidRDefault="00747D99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 stanowisk + nauczyciel (wersja dla szkół)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Lex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Web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LEX Biuro Rachunkowe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Akapitzlist"/>
              <w:spacing w:before="280" w:after="200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 licencje miesięczne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Programy żywieniowe</w:t>
            </w:r>
          </w:p>
          <w:p w:rsidR="00747D99" w:rsidRDefault="00747D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MIESZANKI I DAWKI DLA TRZODY, DAWKI I MIESZANKI DLA BYDŁA I OWIEC, MIESZANKI DLA DROBIU.  Program umożliwia wyliczanie zawartości składników strawnych w paszy oraz energii (jednostki owsiane, energia metaboliczna oraz netto) na podstawie zawartości składników surowych w paszy - jednocześnie dla trzody chlewnej, przeżuwaczy oraz drobiu.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Akapitzlist"/>
              <w:spacing w:before="280" w:after="20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rezerwacyjny Merlin</w:t>
            </w:r>
          </w:p>
          <w:p w:rsidR="00747D99" w:rsidRDefault="00747D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Program rezerwacyjny Merlin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 licencji miesięcznych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Program Dieta 5D</w:t>
            </w:r>
          </w:p>
          <w:p w:rsidR="00747D99" w:rsidRDefault="00747D99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</w:p>
          <w:p w:rsidR="00747D99" w:rsidRDefault="00747D99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Program komputerowy do układania diet Dieta 5D. Kompatybilny z  systemami operacyjnymi, VISTA i WINDOWS 7/8/10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pacing w:after="0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spacing w:after="0"/>
              <w:jc w:val="center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Lato;sans-serif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spacing w:after="0"/>
              <w:jc w:val="center"/>
              <w:rPr>
                <w:rFonts w:asciiTheme="minorHAnsi" w:eastAsia="Lato;sans-serif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Pakiet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biurowy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Office standard (15+1)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wersja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2016 r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edukacji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Pakiet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biurowy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Office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Profesional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(15+1)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wersja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2016 r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AutoCAD 2015/LT2015/360+ Kurs projektowania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parametycznego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nieparametrycznego 2D i 3D (wersja polska)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AutoCAD 2015/LT2015/360+ Kurs projektowania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parametycznego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nieparametrycznego 2D i 3D (wersja polska )Podręcznik zawiera kompletny kurs projektowania parametrycznego i nieparametrycznego 2D/3D oraz drukowania dokumentacji wyrobów dowolnej branży i o dowolnym stopniu złożoności, za pomocą programów: AutoCAD 2015 lub AutoCAD LT 2015 (tylko 2D) i wersji mobilnej AutoCAD 360 oraz nowszych, w polskiej lub angielskiej wersji językowej. Umożliwia przygotowanie do egzaminu certyfikacyjnego AutoCAD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Professional.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Oprogramowanie ERP  XT dla technika logistyka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agwek1"/>
              <w:snapToGrid w:val="0"/>
              <w:spacing w:before="12" w:after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Oprogramowanie COMARCH ERP XT dla technika logistyka</w:t>
            </w:r>
          </w:p>
          <w:p w:rsidR="00747D99" w:rsidRDefault="00747D9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Program do obróbki wideo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VegasPro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Program do profesjonalnej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postprodukcji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filmów o zaawansowanych możliwościach. Za pomocą tej aplikacji będzie można tworzyć i edytować materiałów wideo o standardowej (SD) i wysokiej rozdzielczości (HD i Full HD). Istnieje również możliwość pracy przy filmach dwu- (2D) i trójwymiarowych (3D). Vegas Pro oferuje także możliwość tworzenia filmów w rozdzielczości 4K, czyli 4096x3112.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licencja ESD - Wersja edukacyjna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Ponad 390 efektów wideo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Ponad 200 efektów przejść wideo 2D/3D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Funkcje: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Automatyczne przejścia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Sterowanie oknami podglądu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Funkcja Instant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freeze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frame</w:t>
            </w:r>
            <w:proofErr w:type="spellEnd"/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Rozszerzony tryb edycji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Sync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-Link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Edycja w trybie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multikamera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Obwiednia prędkości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Rozciąganie / Kompresja czasu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Zmiana kolejności klipów na linii edycyjnej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Ulepszenie dla klipów na linii edycyjnej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Uproszczenie nagłówków ścieżek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System menu umożliwiający organizowanie i dostosowywanie widocznych elementów sterujących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Narzędzia maskujące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Obsługa ACES 1.0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Efekty maskowania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Ustawienie kompozycji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Komponowanie 3D przy ruchu kamery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Dodaj głębię do elementów 2D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Wsparcie HEVC /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ProRes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/ XAVC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Obsługa przesyłania strumieniowego dla kodera AVC / MP4 </w:t>
            </w:r>
            <w:bookmarkStart w:id="1" w:name="_GoBack"/>
            <w:bookmarkEnd w:id="1"/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Kompletne środowisko wielokanałowego dźwięku </w:t>
            </w:r>
          </w:p>
          <w:p w:rsidR="00747D99" w:rsidRDefault="00AC4379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Efekty FX audio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widowControl w:val="0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Artlantis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Studio 6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Artlantis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Studio to narzędzie do tworzenia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fotorealistycznych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wizualizacji 3D budynków, wystroju wnętrz, ogrodów i tym podobnych, zarówno statycznych, jak i w postaci animacji i interaktywnych panoram do oglądania na goglach VR. Program polecany jest przede wszystkim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architektom, którzy chcą tworzyć imponujące wizualizacje bez konieczności zagłębiania się w czasochłonne narzędzia do modelowania 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renderowania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projektów. Jest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kotabilby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programe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Skech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które szkoła posiada. Jest tańsza wersją do użytku dla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archiektów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krajobrazu. Ponieważ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Skech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posiada słabej jakości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rederingi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architekci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używaa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Artlantisa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Studio. Nie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wpsółpracuje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za to z AutoCad-em.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3230CB">
            <w:pPr>
              <w:pStyle w:val="Nagwek3"/>
              <w:numPr>
                <w:ilvl w:val="2"/>
                <w:numId w:val="2"/>
              </w:numPr>
            </w:pPr>
            <w:hyperlink r:id="rId9">
              <w:r w:rsidR="00AC4379">
                <w:rPr>
                  <w:rStyle w:val="czeinternetowe"/>
                  <w:rFonts w:cstheme="minorHAns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48000000-8</w:t>
              </w:r>
            </w:hyperlink>
          </w:p>
          <w:p w:rsidR="00747D99" w:rsidRDefault="00747D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 w:rsidP="0063193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Pakiet Office min. Standard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Wersja edukacyjna PL</w:t>
            </w:r>
          </w:p>
          <w:p w:rsidR="00747D99" w:rsidRDefault="00AC43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 konieczności wykupywania subskrypcji</w:t>
            </w:r>
          </w:p>
          <w:p w:rsidR="00747D99" w:rsidRDefault="00AC43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Licencja ważna bezterminowo</w:t>
            </w:r>
          </w:p>
          <w:p w:rsidR="00747D99" w:rsidRDefault="00AC43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wersja 2016</w:t>
            </w:r>
          </w:p>
          <w:p w:rsidR="00747D99" w:rsidRDefault="00AC43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Zawierająca programy min. Word, Excel,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48000000-8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System Serwerowy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_DdeLink__1479_3743265403"/>
            <w:bookmarkEnd w:id="2"/>
            <w:r>
              <w:rPr>
                <w:rFonts w:cstheme="minorHAnsi"/>
                <w:sz w:val="20"/>
                <w:szCs w:val="20"/>
              </w:rPr>
              <w:t>Windows Server 2016 Essentials z licencjami dostępowymi dla min 20 komputerów.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cstheme="minorHAnsi"/>
              </w:rPr>
              <w:t>18.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System operacyjny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Microsoft Windows 10 Home PL 64bit OEM DVD  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Architektura  64-bitowa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Licencja  OEM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Liczba użytkowników  1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Liczba stanowisk  1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Wersja językowa  Polska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Nośnik  DVD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lastRenderedPageBreak/>
              <w:t xml:space="preserve"> Wymagania sprzętowe  Procesor 1 GHz lub szybszy, 64-bitowy (x64)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 GB pamięci RAM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20 GB wolnego miejsca na dysku twardym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Urządzenie graficzne DirectX 9 ze sterownikiem WDDM 1.0 lub nowszym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  <w:szCs w:val="20"/>
                <w:lang w:eastAsia="zh-CN"/>
              </w:rPr>
              <w:lastRenderedPageBreak/>
              <w:t>48000000-8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7D99"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jc w:val="center"/>
            </w:pPr>
            <w:r>
              <w:rPr>
                <w:rFonts w:cstheme="minorHAnsi"/>
              </w:rPr>
              <w:lastRenderedPageBreak/>
              <w:t>19.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Microsoft Office Professional 2010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Pakiet Office Professional 2010 oferuje Państwu programy do tworzenia, zarządzania i edycji dokumentów, tabel, arkuszy kalkulacyjnych, bazy danych oraz tego typu prac. Dlatego właśnie MS Office 2010 Professional nadaje się zarówno do użytku osobistego jak i do zadań w małych firmach oraz biurach. 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Programy wchodzące w skład Microsoft Office Professional 2010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Nabywając teraz MS Office 2010 Professional, otrzymujecie Państwo nieograniczony dostęp do następujących programów: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Word 2010 to narzędzie do tworzenia i edycji dokumentów .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Excel 2010 jest idealnym rozwiązaniem do przetwarzania obszernych tabel.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Outlook 2010 zarządza kontaktami, kontami e-mail i danymi z kalendarza, umożliwiając lepiej organizować dzień.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PowerPoint 2010 w Microsoft Office Professional 2010 pozwala tworzyć prezentacje w celach prywatnych i zawodowych.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OneNote 2010 jest Państwa osobistym, wirtualnym notesem, w którym możecie przechowywać swoje pomysły.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Publisher 2010 pomaga w projektowaniu kart, broszur, ulotek,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flyerów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i podobnych dokumentów.</w:t>
            </w:r>
          </w:p>
          <w:p w:rsidR="00747D99" w:rsidRDefault="00AC4379">
            <w:pPr>
              <w:pStyle w:val="Normalny1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   Access 2010  to bardzo skuteczne narzędzie do tworzenia i zarządzania bazami danych.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pStyle w:val="Normalny1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414042"/>
                <w:sz w:val="20"/>
                <w:szCs w:val="20"/>
                <w:lang w:eastAsia="zh-CN"/>
              </w:rPr>
              <w:t>48000000-8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AC437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47D99" w:rsidRDefault="00747D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47D99" w:rsidRDefault="00747D99" w:rsidP="00545436">
      <w:pPr>
        <w:jc w:val="right"/>
      </w:pPr>
    </w:p>
    <w:sectPr w:rsidR="00747D99">
      <w:headerReference w:type="default" r:id="rId10"/>
      <w:footerReference w:type="default" r:id="rId11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CB" w:rsidRDefault="003230CB">
      <w:pPr>
        <w:spacing w:after="0" w:line="240" w:lineRule="auto"/>
      </w:pPr>
      <w:r>
        <w:separator/>
      </w:r>
    </w:p>
  </w:endnote>
  <w:endnote w:type="continuationSeparator" w:id="0">
    <w:p w:rsidR="003230CB" w:rsidRDefault="003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;sans-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9" w:rsidRDefault="00AC4379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rFonts w:hint="eastAsia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CB" w:rsidRDefault="003230CB">
      <w:pPr>
        <w:spacing w:after="0" w:line="240" w:lineRule="auto"/>
      </w:pPr>
      <w:r>
        <w:separator/>
      </w:r>
    </w:p>
  </w:footnote>
  <w:footnote w:type="continuationSeparator" w:id="0">
    <w:p w:rsidR="003230CB" w:rsidRDefault="0032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9" w:rsidRDefault="00AC4379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BFD" w:rsidRPr="00176BFD" w:rsidRDefault="00D2492B" w:rsidP="00176BFD">
    <w:pPr>
      <w:pStyle w:val="Nagwek10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4</w:t>
    </w:r>
    <w:r w:rsidR="00176BFD" w:rsidRPr="00176BFD">
      <w:rPr>
        <w:rFonts w:asciiTheme="minorHAnsi" w:hAnsiTheme="minorHAnsi" w:cstheme="minorHAnsi"/>
        <w:b/>
        <w:sz w:val="22"/>
        <w:szCs w:val="22"/>
      </w:rPr>
      <w:t xml:space="preserve"> do zapytania ofertowego nr AG.272.17.2018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A15"/>
    <w:multiLevelType w:val="multilevel"/>
    <w:tmpl w:val="884A2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5344AA"/>
    <w:multiLevelType w:val="multilevel"/>
    <w:tmpl w:val="C69496A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nsid w:val="7E206664"/>
    <w:multiLevelType w:val="multilevel"/>
    <w:tmpl w:val="CD3C1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9"/>
    <w:rsid w:val="00176BFD"/>
    <w:rsid w:val="001D00D6"/>
    <w:rsid w:val="003230CB"/>
    <w:rsid w:val="00545436"/>
    <w:rsid w:val="00631932"/>
    <w:rsid w:val="00747D99"/>
    <w:rsid w:val="00AC4379"/>
    <w:rsid w:val="00C412A3"/>
    <w:rsid w:val="00D2492B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pakiety-oprogramowania-i-systemy-informatyczne-71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F262-300E-41FE-ACDB-FD7FCF76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3</cp:revision>
  <cp:lastPrinted>2018-04-05T05:58:00Z</cp:lastPrinted>
  <dcterms:created xsi:type="dcterms:W3CDTF">2018-06-07T20:23:00Z</dcterms:created>
  <dcterms:modified xsi:type="dcterms:W3CDTF">2018-06-07T20:26:00Z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