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1486" w:leader="none"/>
        </w:tabs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 xml:space="preserve">                                                                          </w:t>
      </w:r>
      <w:r>
        <w:rPr>
          <w:rFonts w:cs="Calibri" w:ascii="Calibri" w:hAnsi="Calibri"/>
          <w:b/>
          <w:bCs/>
          <w:sz w:val="26"/>
          <w:szCs w:val="26"/>
        </w:rPr>
        <w:t>Załącznik nr 3 do zapytania nr AG.272.7.2019 Wykaz wyposażenia</w:t>
      </w:r>
    </w:p>
    <w:tbl>
      <w:tblPr>
        <w:tblW w:w="14460" w:type="dxa"/>
        <w:jc w:val="left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1344"/>
        <w:gridCol w:w="6832"/>
        <w:gridCol w:w="1305"/>
        <w:gridCol w:w="1244"/>
        <w:gridCol w:w="2636"/>
      </w:tblGrid>
      <w:tr>
        <w:trPr/>
        <w:tc>
          <w:tcPr>
            <w:tcW w:w="14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CC2E5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32"/>
                <w:szCs w:val="32"/>
              </w:rPr>
              <w:t xml:space="preserve">Dostawa wyposażenia pracowni szkolnych: </w:t>
            </w:r>
            <w:r>
              <w:rPr>
                <w:rFonts w:eastAsia="Times New Roman" w:cs="Calibri"/>
                <w:b/>
                <w:iCs/>
                <w:color w:val="000000"/>
                <w:sz w:val="24"/>
                <w:szCs w:val="24"/>
              </w:rPr>
              <w:t>Zakup zastaw stołowych, akcesoriów oraz naczyń gastronomicznych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Calibri" w:cstheme="minorHAnsi"/>
                <w:b/>
                <w:sz w:val="20"/>
                <w:szCs w:val="20"/>
              </w:rPr>
              <w:t xml:space="preserve">Ilość sztuk/ </w:t>
            </w:r>
            <w:r>
              <w:rPr>
                <w:rFonts w:eastAsia="Times New Roman" w:cs="Calibri" w:cstheme="minorHAnsi"/>
                <w:b/>
                <w:sz w:val="20"/>
                <w:szCs w:val="20"/>
              </w:rPr>
              <w:t>kompletów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cstheme="minorHAnsi"/>
                <w:b/>
                <w:bCs/>
              </w:rPr>
              <w:t>Łączna  cena brutto (tj. cena jednostkowa x ilość  sztuk kompletów)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Komplet noży kuchennych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98"/>
              <w:ind w:left="0"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nóż kuchenny (długość 20 cm); 1 szt.</w:t>
            </w:r>
          </w:p>
          <w:p>
            <w:pPr>
              <w:pStyle w:val="Normal"/>
              <w:spacing w:lineRule="auto" w:line="240" w:before="0" w:after="198"/>
              <w:ind w:left="0"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widelec (długość 18 cm); 1 szt.</w:t>
            </w:r>
          </w:p>
          <w:p>
            <w:pPr>
              <w:pStyle w:val="Normal"/>
              <w:spacing w:lineRule="auto" w:line="240" w:before="0" w:after="198"/>
              <w:ind w:left="0"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nóż do chleba (długość 20 cm); 1 szt.</w:t>
            </w:r>
          </w:p>
          <w:p>
            <w:pPr>
              <w:pStyle w:val="Normal"/>
              <w:spacing w:lineRule="auto" w:line="240" w:before="0" w:after="198"/>
              <w:ind w:left="0"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nóż do oddzielania kości (długość 15 cm); 1 szt.</w:t>
            </w:r>
          </w:p>
          <w:p>
            <w:pPr>
              <w:pStyle w:val="Normal"/>
              <w:spacing w:lineRule="auto" w:line="240" w:before="0" w:after="198"/>
              <w:ind w:left="0"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nóż do mięsa (długość 20 cm); 1 szt.</w:t>
            </w:r>
          </w:p>
          <w:p>
            <w:pPr>
              <w:pStyle w:val="Normal"/>
              <w:spacing w:lineRule="auto" w:line="240" w:before="0" w:after="198"/>
              <w:ind w:left="0"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stalka (długość 25 cm). 1 szt.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39241100-4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5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kompletów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Zestaw naczyń i  sztućców 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Serwis śniadaniowy.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Talerzyki śniadaniowe 12 szt, filiżanki ze spodkami do herbaty 12 szt i do kawy 12 szt, dzbanek do kawy 1 szt, cukiernica, 1 szt mlecznik 1 szt, łyżeczki 12 szt, noże 12 szt i widelce średnie 12 szt, kieliszki do jajek 12 szt.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39221110-1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Tace do obsługi room-service                     </w:t>
            </w:r>
          </w:p>
        </w:tc>
        <w:tc>
          <w:tcPr>
            <w:tcW w:w="6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Wymiar min. 600 x 400 x 54 mm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br/>
              <w:t xml:space="preserve">39313000-9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28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2"/>
        <w:gridCol w:w="1579"/>
        <w:gridCol w:w="6531"/>
        <w:gridCol w:w="1358"/>
        <w:gridCol w:w="1248"/>
        <w:gridCol w:w="2409"/>
      </w:tblGrid>
      <w:tr>
        <w:trPr>
          <w:trHeight w:val="1365" w:hRule="atLeast"/>
        </w:trPr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Termos cateringowy (termoparty) z kranikiem o poj. Min. 20 litrów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Właściwości termoizolacyjne min do (4-5h). Termos w całości wykonany ze stali nierdzewnej. Podwójne ścianki wypełnione specjalną pianką izolacyjną. Pokrywa termosu  wypełniona pianką wyposażona w uszczelkę silikonową. Odpowietrznik w pokrywie. Pokrywa zamykana na 3 zatrzaski. Stabilne ergonomiczne uchwyty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 xml:space="preserve">39221150-3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Termos cateringowy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Pojemnik do transportu potraw z odpornego na uderzenia polipropylenu z jonami srebra.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Gładka powierzchnia polipropylenu ułatwiająca czyszczenie i szybkie wysychanie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Możliwość mycia i wyparzania w zmywarkach przemysłowych do 130°C,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Zakres temperatura od -20°C do +100°C,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Przystosowany do transportu gorących i zimnych potraw,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Przystosowany do pojemników GN do 1/1, głębokość 200 mm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wbudowane wgłębienia na uchwyt,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zamknięcia typu klips,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39221150-3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Gastro pojemniki GN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Wykonane ze stali nierdzewnej. Temperatura użycia -20 do 300C.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0,7L gł. 20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1,5L gł. 40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2,5L gł. 65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3,7L gł. 100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5,7L gł. 150 mm </w:t>
            </w:r>
          </w:p>
          <w:p>
            <w:pPr>
              <w:pStyle w:val="Tekstpodstawowy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poj. 7,3L gł. 200 mm 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39221150-3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komplety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Blachy GN do pieca konwekcyjnego perforowane o wymiarach 32,4 cm/35,4cm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Blachy GN do pieca konwekcyjnego perforowane o wymiarach 32,4 cm/35,4cm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39220000-0 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0770" w:type="dxa"/>
            <w:gridSpan w:val="4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Łączna cena brutto w zł</w:t>
            </w:r>
          </w:p>
        </w:tc>
        <w:tc>
          <w:tcPr>
            <w:tcW w:w="365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61" w:right="1467" w:header="709" w:top="814" w:footer="773" w:bottom="830" w:gutter="0"/>
      <w:pgNumType w:fmt="decimal"/>
      <w:formProt w:val="false"/>
      <w:textDirection w:val="lrTb"/>
      <w:docGrid w:type="default" w:linePitch="326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top w:val="single" w:sz="4" w:space="1" w:color="000000"/>
      </w:pBdr>
      <w:tabs>
        <w:tab w:val="left" w:pos="708" w:leader="none"/>
        <w:tab w:val="center" w:pos="4536" w:leader="none"/>
        <w:tab w:val="right" w:pos="9072" w:leader="none"/>
      </w:tabs>
      <w:spacing w:before="240" w:after="120"/>
      <w:jc w:val="center"/>
      <w:rPr/>
    </w:pPr>
    <w:r>
      <w:rPr>
        <w:rFonts w:cs="Calibri"/>
        <w:bCs/>
        <w:sz w:val="16"/>
        <w:szCs w:val="16"/>
      </w:rPr>
      <w:t xml:space="preserve">Projekt pn.: </w:t>
    </w:r>
    <w:r>
      <w:rPr>
        <w:rFonts w:cs="Calibri"/>
        <w:b/>
        <w:bCs/>
        <w:sz w:val="16"/>
        <w:szCs w:val="16"/>
      </w:rPr>
      <w:t>Wiedza oparta na praktyce – modernizacja kształcenia zawodowego w powiecie wałeckim</w:t>
    </w:r>
    <w:r>
      <w:rPr>
        <w:rFonts w:cs="Calibri"/>
        <w:bCs/>
        <w:sz w:val="16"/>
        <w:szCs w:val="16"/>
      </w:rPr>
      <w:t xml:space="preserve"> </w:t>
      <w:br/>
      <w:t>współfinansowany przez Unię Europejską z Europejskiego Funduszu Społecznego oraz budżetu państwa</w:t>
      <w:br/>
      <w:t xml:space="preserve">w ramach Regionalnego Programu Operacyjnego Województwa Zachodniopomorskiego 2014-2020 </w:t>
      <w:br/>
      <w:t>Oś Priorytetowa 8 Edukacja</w:t>
      <w:br/>
      <w:t xml:space="preserve"> Działanie 8.9 Wsparcie szkół i placówek prowadzących kształcenie zawodowe oraz uczniów uczestniczących w kształceniu zawodowym </w:t>
      <w:br/>
      <w:t>i osób dorosłych uczestniczących w pozaszkolnych formach kształcenia zawodowego w ramach Kontraktów Samorządowych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spacing w:before="240" w:after="120"/>
      <w:jc w:val="center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1404620</wp:posOffset>
          </wp:positionH>
          <wp:positionV relativeFrom="paragraph">
            <wp:posOffset>-81280</wp:posOffset>
          </wp:positionV>
          <wp:extent cx="5761355" cy="4387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zh-CN" w:val="pl-PL" w:bidi="ar-SA"/>
    </w:rPr>
  </w:style>
  <w:style w:type="paragraph" w:styleId="Nagwek1">
    <w:name w:val="Heading 1"/>
    <w:basedOn w:val="Normal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Gwka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hAnsi="Liberation Serif;Times New Roma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WW8Num7z0" w:customStyle="1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ZnakZnak" w:customStyle="1">
    <w:name w:val="Znak Znak"/>
    <w:qFormat/>
    <w:rPr>
      <w:sz w:val="24"/>
      <w:szCs w:val="24"/>
      <w:lang w:val="pl-PL" w:bidi="ar-SA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304e"/>
    <w:rPr>
      <w:rFonts w:ascii="Calibri" w:hAnsi="Calibri" w:eastAsia="Calibri" w:cs="Calibri"/>
      <w:sz w:val="22"/>
      <w:szCs w:val="22"/>
      <w:lang w:eastAsia="zh-CN"/>
    </w:rPr>
  </w:style>
  <w:style w:type="character" w:styleId="ListLabel1" w:customStyle="1">
    <w:name w:val="ListLabel 1"/>
    <w:qFormat/>
    <w:rPr>
      <w:rFonts w:cs="Times New Roman"/>
      <w:iCs/>
      <w:color w:val="000000"/>
      <w:sz w:val="24"/>
      <w:szCs w:val="24"/>
    </w:rPr>
  </w:style>
  <w:style w:type="character" w:styleId="ListLabel2" w:customStyle="1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styleId="ListLabel3" w:customStyle="1">
    <w:name w:val="ListLabel 3"/>
    <w:qFormat/>
    <w:rPr>
      <w:rFonts w:cs="Times New Roman"/>
      <w:iCs/>
      <w:color w:val="000000"/>
      <w:sz w:val="24"/>
      <w:szCs w:val="24"/>
    </w:rPr>
  </w:style>
  <w:style w:type="character" w:styleId="ListLabel4" w:customStyle="1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5" w:customStyle="1">
    <w:name w:val="ListLabel 5"/>
    <w:qFormat/>
    <w:rPr>
      <w:rFonts w:cs="Times New Roman"/>
      <w:color w:val="000000"/>
      <w:sz w:val="24"/>
      <w:szCs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3" w:customStyle="1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4" w:customStyle="1">
    <w:name w:val="ListLabel 14"/>
    <w:qFormat/>
    <w:rPr>
      <w:rFonts w:cs="Times New Roman"/>
      <w:color w:val="000000"/>
      <w:sz w:val="24"/>
      <w:szCs w:val="24"/>
    </w:rPr>
  </w:style>
  <w:style w:type="character" w:styleId="ListLabel15" w:customStyle="1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6" w:customStyle="1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7" w:customStyle="1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8" w:customStyle="1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19" w:customStyle="1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0" w:customStyle="1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ListLabel21" w:customStyle="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d06000"/>
    <w:rPr>
      <w:rFonts w:ascii="Segoe UI" w:hAnsi="Segoe UI" w:eastAsia="Calibri" w:cs="Segoe UI"/>
      <w:sz w:val="18"/>
      <w:szCs w:val="18"/>
      <w:lang w:eastAsia="zh-CN"/>
    </w:rPr>
  </w:style>
  <w:style w:type="character" w:styleId="ListLabel22" w:customStyle="1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styleId="Mocnowyrniony" w:customStyle="1">
    <w:name w:val="Mocno wyróżniony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  <w:sz w:val="20"/>
    </w:rPr>
  </w:style>
  <w:style w:type="character" w:styleId="WW8Num6z2" w:customStyle="1">
    <w:name w:val="WW8Num6z2"/>
    <w:qFormat/>
    <w:rPr>
      <w:rFonts w:ascii="Wingdings" w:hAnsi="Wingdings" w:cs="Wingdings"/>
      <w:sz w:val="20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  <w:sz w:val="20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  <w:sz w:val="20"/>
      <w:szCs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OpenSymbol;Arial Unicode MS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OpenSymbol;Arial Unicode MS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OpenSymbol;Arial Unicode MS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OpenSymbol;Arial Unicode M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Arial" w:ascii="Times New Roman" w:hAnsi="Times New Roman" w:eastAsia="Times New Roman"/>
      <w:color w:val="auto"/>
      <w:kern w:val="0"/>
      <w:sz w:val="22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708" w:hanging="0"/>
    </w:pPr>
    <w:rPr>
      <w:rFonts w:ascii="Arial" w:hAnsi="Arial" w:cs="Ari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zh-CN" w:val="pl-PL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qFormat/>
    <w:pPr>
      <w:widowControl w:val="false"/>
      <w:spacing w:lineRule="exact" w:line="276"/>
      <w:ind w:hanging="278"/>
      <w:jc w:val="both"/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semiHidden/>
    <w:unhideWhenUsed/>
    <w:qFormat/>
    <w:rsid w:val="00d060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867A-08EC-4925-A353-5700FB9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LibreOffice/6.1.0.3$Windows_x86 LibreOffice_project/efb621ed25068d70781dc026f7e9c5187a4decd1</Application>
  <Pages>3</Pages>
  <Words>417</Words>
  <Characters>2361</Characters>
  <CharactersWithSpaces>3031</CharactersWithSpaces>
  <Paragraphs>66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2018-04-05T06:27:00Z</dcterms:created>
  <dc:creator>Starostwo Powiatowe</dc:creator>
  <dc:description/>
  <dc:language>pl-PL</dc:language>
  <cp:lastModifiedBy/>
  <cp:lastPrinted>2019-02-22T11:19:03Z</cp:lastPrinted>
  <dcterms:modified xsi:type="dcterms:W3CDTF">2019-02-22T15:02:01Z</dcterms:modified>
  <cp:revision>18</cp:revision>
  <dc:subject/>
  <dc:title>Przebudowa drogi powiatowej nr 2314Z na odcinku Stacja PKP Strączno -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