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4" w:rsidRPr="00754C6B" w:rsidRDefault="00A178C4" w:rsidP="00520FAE">
      <w:pPr>
        <w:widowControl/>
        <w:tabs>
          <w:tab w:val="left" w:pos="-1146"/>
          <w:tab w:val="left" w:pos="0"/>
        </w:tabs>
        <w:spacing w:after="200" w:line="276" w:lineRule="auto"/>
        <w:ind w:left="567"/>
        <w:jc w:val="righ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520FAE" w:rsidRPr="00754C6B" w:rsidRDefault="00EA1A4D" w:rsidP="00520FAE">
      <w:pPr>
        <w:widowControl/>
        <w:tabs>
          <w:tab w:val="left" w:pos="-1146"/>
          <w:tab w:val="left" w:pos="0"/>
        </w:tabs>
        <w:spacing w:after="200" w:line="276" w:lineRule="auto"/>
        <w:ind w:left="567"/>
        <w:jc w:val="right"/>
        <w:textAlignment w:val="auto"/>
        <w:rPr>
          <w:rFonts w:asciiTheme="minorHAnsi" w:eastAsia="Calibri" w:hAnsiTheme="minorHAnsi" w:cstheme="minorHAnsi"/>
          <w:b/>
          <w:bCs/>
          <w:color w:val="000000"/>
          <w:kern w:val="0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4</w:t>
      </w:r>
      <w:r w:rsidR="00520FAE" w:rsidRPr="00754C6B">
        <w:rPr>
          <w:rFonts w:asciiTheme="minorHAnsi" w:eastAsia="Calibri" w:hAnsiTheme="minorHAnsi" w:cstheme="minorHAnsi"/>
          <w:b/>
          <w:sz w:val="20"/>
          <w:szCs w:val="20"/>
        </w:rPr>
        <w:t xml:space="preserve"> do zapytania ofertowego nr </w:t>
      </w:r>
      <w:r w:rsidR="00A178C4" w:rsidRPr="00754C6B">
        <w:rPr>
          <w:rFonts w:asciiTheme="minorHAnsi" w:eastAsia="Calibri" w:hAnsiTheme="minorHAnsi" w:cstheme="minorHAnsi"/>
          <w:b/>
          <w:sz w:val="20"/>
          <w:szCs w:val="20"/>
        </w:rPr>
        <w:t>AG.272.6.2019</w:t>
      </w:r>
    </w:p>
    <w:p w:rsidR="00520FAE" w:rsidRPr="00754C6B" w:rsidRDefault="00520FAE">
      <w:pPr>
        <w:widowControl/>
        <w:tabs>
          <w:tab w:val="left" w:pos="-1146"/>
          <w:tab w:val="left" w:pos="0"/>
        </w:tabs>
        <w:spacing w:after="200" w:line="276" w:lineRule="auto"/>
        <w:ind w:left="567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kern w:val="0"/>
          <w:sz w:val="20"/>
          <w:szCs w:val="20"/>
          <w:lang w:eastAsia="zh-CN"/>
        </w:rPr>
      </w:pPr>
    </w:p>
    <w:p w:rsidR="00056762" w:rsidRPr="00754C6B" w:rsidRDefault="00EA1A4D" w:rsidP="00EA1A4D">
      <w:pPr>
        <w:widowControl/>
        <w:tabs>
          <w:tab w:val="left" w:pos="-1146"/>
          <w:tab w:val="left" w:pos="0"/>
        </w:tabs>
        <w:spacing w:after="200" w:line="276" w:lineRule="auto"/>
        <w:ind w:left="567"/>
        <w:jc w:val="center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color w:val="000000"/>
          <w:kern w:val="0"/>
          <w:sz w:val="20"/>
          <w:szCs w:val="20"/>
          <w:lang w:eastAsia="zh-CN"/>
        </w:rPr>
        <w:t>Wykaz wyposażeni</w:t>
      </w:r>
      <w:r w:rsidR="003F0319" w:rsidRPr="00754C6B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zh-CN"/>
        </w:rPr>
        <w:t xml:space="preserve">a na </w:t>
      </w:r>
      <w:r w:rsidR="003F0319" w:rsidRPr="00754C6B">
        <w:rPr>
          <w:rFonts w:asciiTheme="minorHAnsi" w:eastAsia="Calibri" w:hAnsiTheme="minorHAnsi" w:cstheme="minorHAnsi"/>
          <w:b/>
          <w:bCs/>
          <w:iCs/>
          <w:color w:val="000000"/>
          <w:kern w:val="0"/>
          <w:sz w:val="20"/>
          <w:szCs w:val="20"/>
          <w:u w:val="single"/>
          <w:lang w:eastAsia="zh-CN"/>
        </w:rPr>
        <w:t>„Zakup i dostawę wyposażenia do pracowni weterynaryjnej”.</w:t>
      </w:r>
      <w:bookmarkStart w:id="0" w:name="_GoBack"/>
      <w:bookmarkEnd w:id="0"/>
    </w:p>
    <w:p w:rsidR="00056762" w:rsidRPr="00754C6B" w:rsidRDefault="003F0319" w:rsidP="00A178C4">
      <w:pPr>
        <w:widowControl/>
        <w:tabs>
          <w:tab w:val="left" w:pos="283"/>
        </w:tabs>
        <w:spacing w:after="200" w:line="276" w:lineRule="auto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4C6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zh-CN"/>
        </w:rPr>
        <w:t>Wykonawca zobowiązany jest do dostarczenia</w:t>
      </w:r>
      <w:r w:rsidR="00520FAE" w:rsidRPr="00754C6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zh-CN"/>
        </w:rPr>
        <w:t xml:space="preserve"> przedmiot zamówienia</w:t>
      </w:r>
      <w:r w:rsidRPr="00754C6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zh-CN"/>
        </w:rPr>
        <w:t xml:space="preserve"> na własny koszt na adres szkoły, po wcześniejszym ustaleniu z Zamawiającym </w:t>
      </w:r>
      <w:r w:rsidRPr="00754C6B">
        <w:rPr>
          <w:rFonts w:asciiTheme="minorHAnsi" w:eastAsia="HG Mincho Light J" w:hAnsiTheme="minorHAnsi" w:cstheme="minorHAnsi"/>
          <w:color w:val="000000"/>
          <w:kern w:val="0"/>
          <w:sz w:val="20"/>
          <w:szCs w:val="20"/>
          <w:lang w:eastAsia="zh-CN"/>
        </w:rPr>
        <w:t xml:space="preserve">                                                           </w:t>
      </w:r>
      <w:r w:rsidRPr="00754C6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zh-CN"/>
        </w:rPr>
        <w:t xml:space="preserve">Rodzaj zamówienia: </w:t>
      </w:r>
      <w:r w:rsidRPr="00754C6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zh-CN"/>
        </w:rPr>
        <w:t xml:space="preserve">dostawa </w:t>
      </w:r>
    </w:p>
    <w:tbl>
      <w:tblPr>
        <w:tblW w:w="14448" w:type="dxa"/>
        <w:tblInd w:w="-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512"/>
        <w:gridCol w:w="6729"/>
        <w:gridCol w:w="1213"/>
        <w:gridCol w:w="1052"/>
        <w:gridCol w:w="2717"/>
      </w:tblGrid>
      <w:tr w:rsidR="00056762" w:rsidRPr="00754C6B">
        <w:tc>
          <w:tcPr>
            <w:tcW w:w="144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3F0319">
            <w:pPr>
              <w:pStyle w:val="ListContents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b/>
                <w:sz w:val="20"/>
                <w:szCs w:val="20"/>
              </w:rPr>
              <w:t>Produkty weterynaryjne</w:t>
            </w:r>
          </w:p>
          <w:p w:rsidR="00056762" w:rsidRPr="00754C6B" w:rsidRDefault="00E0078A" w:rsidP="00A178C4">
            <w:pPr>
              <w:pStyle w:val="ListContents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3F0319" w:rsidRPr="00754C6B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33000000-0</w:t>
              </w:r>
            </w:hyperlink>
            <w:r w:rsidR="003F0319" w:rsidRPr="00754C6B">
              <w:rPr>
                <w:rFonts w:asciiTheme="minorHAnsi" w:hAnsiTheme="minorHAnsi" w:cstheme="minorHAnsi"/>
                <w:sz w:val="20"/>
                <w:szCs w:val="20"/>
              </w:rPr>
              <w:t xml:space="preserve">  Urządzenia medyczne, farmaceutyki i</w:t>
            </w:r>
            <w:r w:rsidR="00A178C4" w:rsidRPr="00754C6B">
              <w:rPr>
                <w:rFonts w:asciiTheme="minorHAnsi" w:hAnsiTheme="minorHAnsi" w:cstheme="minorHAnsi"/>
                <w:sz w:val="20"/>
                <w:szCs w:val="20"/>
              </w:rPr>
              <w:t xml:space="preserve"> produkty do pielęgnacji ciała</w:t>
            </w:r>
          </w:p>
        </w:tc>
      </w:tr>
      <w:tr w:rsidR="00754C6B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 w zł (tj. cena jednostkowa x ilość sztuk/zestawów)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754C6B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na odpady medyczne 2 L</w:t>
            </w:r>
          </w:p>
          <w:p w:rsidR="00754C6B" w:rsidRPr="00754C6B" w:rsidRDefault="00754C6B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 jednorazowego użytku do gromadzenia zużytego sprzętu medycznego (igły, strzykawki,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welflony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rękawiczki, itp.)</w:t>
            </w:r>
          </w:p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wykonany z polipropylenu</w:t>
            </w:r>
          </w:p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nieprzemakalny oraz odporny na przekłucia.</w:t>
            </w:r>
          </w:p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specjalny otwór, który umożliwia bezpieczne usunięcie igły ze strzykawki, bez potrzeby bezpośredniego kontaktu igły z ręką</w:t>
            </w:r>
          </w:p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wyposażony w etykiety zgodne z wymaganiami PZH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 w:rsidP="00754C6B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4C6B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na odpady medyczne 5 L</w:t>
            </w:r>
          </w:p>
          <w:p w:rsidR="00754C6B" w:rsidRPr="00754C6B" w:rsidRDefault="00754C6B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 jednorazowego użytku do gromadzenia zużytego sprzętu medycznego (igły, strzykawki,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welflony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rękawiczki, itp.)</w:t>
            </w:r>
          </w:p>
          <w:p w:rsidR="00754C6B" w:rsidRPr="00754C6B" w:rsidRDefault="00754C6B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wykonany z polipropylenu</w:t>
            </w:r>
          </w:p>
          <w:p w:rsidR="00754C6B" w:rsidRPr="00754C6B" w:rsidRDefault="00754C6B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nieprzemakalny oraz odporny na przekłucia.</w:t>
            </w:r>
          </w:p>
          <w:p w:rsidR="00754C6B" w:rsidRPr="00754C6B" w:rsidRDefault="00754C6B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specjalny otwór, który umożliwia bezpieczne usunięcie igły ze strzykawki, bez </w:t>
            </w: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potrzeby bezpośredniego kontaktu igły z ręką</w:t>
            </w:r>
          </w:p>
          <w:p w:rsidR="00754C6B" w:rsidRPr="00754C6B" w:rsidRDefault="00754C6B">
            <w:pPr>
              <w:pStyle w:val="Standard"/>
              <w:widowControl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wyposażony w etykiety zgodne z wymaganiami PZH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54C6B" w:rsidRPr="00754C6B" w:rsidRDefault="00754C6B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A4D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na odpady medyczne 10 L</w:t>
            </w:r>
          </w:p>
          <w:p w:rsidR="00EA1A4D" w:rsidRPr="00754C6B" w:rsidRDefault="00EA1A4D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 jednorazowego użytku do gromadzenia zużytego sprzętu medycznego (igły, strzykawki,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welflony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rękawiczki, itp.)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wykonany z polipropylenu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nieprzemakalny oraz odporny na przekłucia.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specjalny otwór, który umożliwia bezpieczne usunięcie igły ze strzykawki, bez potrzeby bezpośredniego kontaktu igły z ręką</w:t>
            </w:r>
          </w:p>
          <w:p w:rsidR="00EA1A4D" w:rsidRPr="00754C6B" w:rsidRDefault="00EA1A4D">
            <w:pPr>
              <w:pStyle w:val="Standard"/>
              <w:spacing w:after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wyposażony w etykiety zgodne z wymaganiami PZH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A4D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 do dezynfekcji powierzchni z dozownikiem (rozpylacz) 1 L</w:t>
            </w:r>
          </w:p>
          <w:p w:rsidR="00EA1A4D" w:rsidRPr="00754C6B" w:rsidRDefault="00EA1A4D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szybko działający preparat na bazie alkoholu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szerokie spektrum działania obejmuje bakterie,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grzyby, wszystkie wirusy osłonione (łącznie z HBV, HCV, HIV),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Papova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Rota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w składzie nie mogą znajdować się aldehydy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przyjemny zapach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można go zastosować do metali, tworzyw sztucznych oraz odpornych na działanie alkoholi powierzchni lakierowanych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A4D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 do dezynfekcji powierzchni 5 L</w:t>
            </w:r>
          </w:p>
          <w:p w:rsidR="00EA1A4D" w:rsidRPr="00754C6B" w:rsidRDefault="00EA1A4D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szybko działający preparat na bazie alkoholu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szerokie spektrum działania obejmuje bakterie,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grzyby, wszystkie wirusy osłonione (łącznie z HBV, HCV, HIV),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Papova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Rota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w składzie nie mogą znajdować się aldehydy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przyjemny zapach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można go zastosować do metali, tworzyw sztucznych oraz odpornych na działanie alkoholi powierzchni lakierowanych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A4D" w:rsidRPr="00754C6B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Emulsja dezynfekcyjne 1 L</w:t>
            </w:r>
          </w:p>
          <w:p w:rsidR="00EA1A4D" w:rsidRPr="00754C6B" w:rsidRDefault="00EA1A4D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Uniwersalna emulsja myjąca do mycia rąk i ciała bez zawartości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mydła, alkaliów i substancji zapachowych.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Doskonałe właściwości czyszczące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Przyjazne dla skóry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wartości ok. 5,5</w:t>
            </w:r>
          </w:p>
          <w:p w:rsidR="00EA1A4D" w:rsidRPr="00754C6B" w:rsidRDefault="00EA1A4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Bez substancji barwiących i zapachowych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 w:rsidP="00B4178E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EA1A4D" w:rsidRPr="00754C6B" w:rsidRDefault="00EA1A4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762" w:rsidRPr="00754C6B" w:rsidTr="00A178C4">
        <w:trPr>
          <w:trHeight w:val="1278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3F0319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3F031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Emulsja dezynfekcyjne 5 L</w:t>
            </w:r>
          </w:p>
          <w:p w:rsidR="00056762" w:rsidRPr="00754C6B" w:rsidRDefault="00056762">
            <w:pPr>
              <w:pStyle w:val="Standard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3F031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Uniwersalna emulsja myjąca do mycia rąk i ciała bez zawartości mydła, alkaliów i substancji zapachowych.</w:t>
            </w:r>
          </w:p>
          <w:p w:rsidR="00056762" w:rsidRPr="00754C6B" w:rsidRDefault="003F031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Doskonałe właściwości czyszczące</w:t>
            </w:r>
          </w:p>
          <w:p w:rsidR="00056762" w:rsidRPr="00754C6B" w:rsidRDefault="003F031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Przyjazne dla skóry </w:t>
            </w:r>
            <w:proofErr w:type="spellStart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wartości ok. 5,5</w:t>
            </w:r>
          </w:p>
          <w:p w:rsidR="00056762" w:rsidRPr="00754C6B" w:rsidRDefault="003F0319">
            <w:pPr>
              <w:pStyle w:val="Standard"/>
              <w:widowControl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C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Bez substancji barwiących i zapachowych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EA1A4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056762">
            <w:pPr>
              <w:pStyle w:val="Standard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56762" w:rsidRPr="00754C6B" w:rsidRDefault="0005676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1A4D" w:rsidRDefault="00EA1A4D" w:rsidP="00A178C4">
      <w:pPr>
        <w:widowControl/>
        <w:spacing w:line="276" w:lineRule="auto"/>
        <w:textAlignment w:val="auto"/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lastRenderedPageBreak/>
        <w:tab/>
      </w: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tab/>
      </w: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tab/>
      </w: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tab/>
      </w: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tab/>
      </w:r>
    </w:p>
    <w:p w:rsidR="00EA1A4D" w:rsidRDefault="00EA1A4D" w:rsidP="00A178C4">
      <w:pPr>
        <w:widowControl/>
        <w:spacing w:line="276" w:lineRule="auto"/>
        <w:textAlignment w:val="auto"/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</w:pPr>
    </w:p>
    <w:p w:rsidR="00056762" w:rsidRPr="00754C6B" w:rsidRDefault="00EA1A4D" w:rsidP="00EA1A4D">
      <w:pPr>
        <w:widowControl/>
        <w:spacing w:line="276" w:lineRule="auto"/>
        <w:ind w:left="4236" w:firstLine="706"/>
        <w:textAlignment w:val="auto"/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/>
          <w:bCs/>
          <w:color w:val="00000A"/>
          <w:kern w:val="0"/>
          <w:sz w:val="20"/>
          <w:szCs w:val="20"/>
          <w:lang w:eastAsia="zh-CN"/>
        </w:rPr>
        <w:t>ŁĄCZNA CENA BRUTTO W ZŁ                              ……………………………………………………………………………</w:t>
      </w:r>
    </w:p>
    <w:sectPr w:rsidR="00056762" w:rsidRPr="00754C6B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8A" w:rsidRDefault="00E0078A">
      <w:r>
        <w:separator/>
      </w:r>
    </w:p>
  </w:endnote>
  <w:endnote w:type="continuationSeparator" w:id="0">
    <w:p w:rsidR="00E0078A" w:rsidRDefault="00E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C4" w:rsidRPr="00A178C4" w:rsidRDefault="00A178C4" w:rsidP="00A178C4">
    <w:pPr>
      <w:pStyle w:val="Nagwek"/>
      <w:pBdr>
        <w:top w:val="single" w:sz="4" w:space="1" w:color="000000"/>
      </w:pBdr>
      <w:tabs>
        <w:tab w:val="left" w:pos="708"/>
      </w:tabs>
      <w:jc w:val="center"/>
      <w:rPr>
        <w:rFonts w:ascii="Calibri" w:eastAsia="Calibri" w:hAnsi="Calibri" w:cs="Calibri"/>
        <w:bCs/>
        <w:kern w:val="0"/>
        <w:sz w:val="16"/>
        <w:szCs w:val="16"/>
        <w:lang w:eastAsia="en-US"/>
      </w:rPr>
    </w:pPr>
    <w:r>
      <w:tab/>
    </w:r>
    <w:bookmarkStart w:id="1" w:name="__DdeLink__236_3454192700"/>
    <w:bookmarkStart w:id="2" w:name="_Hlk505866306"/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t xml:space="preserve">Projekt pn.: </w:t>
    </w:r>
    <w:r w:rsidRPr="00A178C4">
      <w:rPr>
        <w:rFonts w:ascii="Calibri" w:eastAsia="Calibri" w:hAnsi="Calibri" w:cs="Calibri"/>
        <w:b/>
        <w:bCs/>
        <w:kern w:val="0"/>
        <w:sz w:val="16"/>
        <w:szCs w:val="16"/>
        <w:lang w:eastAsia="en-US"/>
      </w:rPr>
      <w:t>Wiedza oparta na praktyce – modernizacja kształcenia zawodowego w powiecie wałeckim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t xml:space="preserve"> 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br/>
      <w:t>współfinansowany przez Unię Europejską z Europejskiego Funduszu Społecznego oraz budżetu państwa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br/>
      <w:t xml:space="preserve">w ramach Regionalnego Programu Operacyjnego Województwa Zachodniopomorskiego 2014-2020 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br/>
      <w:t>Oś Priorytetowa 8 Edukacja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br/>
      <w:t xml:space="preserve"> Działanie 8.9 Wsparcie szkół i placówek prowadzących kształcenie zawodowe oraz uczniów uczestniczących w kształceniu zawodowym </w:t>
    </w:r>
    <w:r w:rsidRPr="00A178C4">
      <w:rPr>
        <w:rFonts w:ascii="Calibri" w:eastAsia="Calibri" w:hAnsi="Calibri" w:cs="Calibri"/>
        <w:bCs/>
        <w:kern w:val="0"/>
        <w:sz w:val="16"/>
        <w:szCs w:val="16"/>
        <w:lang w:eastAsia="en-US"/>
      </w:rPr>
      <w:br/>
      <w:t>i osób dorosłych uczestniczących w pozaszkolnych formach kształcenia zawodowego w ramach Kontraktów Samorządowych</w:t>
    </w:r>
    <w:bookmarkEnd w:id="1"/>
    <w:bookmarkEnd w:id="2"/>
  </w:p>
  <w:p w:rsidR="00A178C4" w:rsidRDefault="00A178C4" w:rsidP="00A178C4">
    <w:pPr>
      <w:pStyle w:val="Stopka"/>
      <w:tabs>
        <w:tab w:val="clear" w:pos="4536"/>
        <w:tab w:val="clear" w:pos="9072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8A" w:rsidRDefault="00E0078A">
      <w:r>
        <w:rPr>
          <w:color w:val="000000"/>
        </w:rPr>
        <w:separator/>
      </w:r>
    </w:p>
  </w:footnote>
  <w:footnote w:type="continuationSeparator" w:id="0">
    <w:p w:rsidR="00E0078A" w:rsidRDefault="00E0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C4" w:rsidRDefault="00A178C4">
    <w:pPr>
      <w:pStyle w:val="Nagwek"/>
    </w:pPr>
    <w:r w:rsidRPr="00A178C4">
      <w:rPr>
        <w:rFonts w:ascii="Calibri" w:eastAsia="Calibri" w:hAnsi="Calibri" w:cs="Times New Roman"/>
        <w:noProof/>
        <w:kern w:val="0"/>
        <w:sz w:val="22"/>
        <w:szCs w:val="22"/>
      </w:rPr>
      <w:drawing>
        <wp:anchor distT="0" distB="0" distL="0" distR="0" simplePos="0" relativeHeight="251659264" behindDoc="1" locked="0" layoutInCell="1" allowOverlap="1" wp14:anchorId="14EE0EC5" wp14:editId="0BB9533E">
          <wp:simplePos x="0" y="0"/>
          <wp:positionH relativeFrom="column">
            <wp:posOffset>1451610</wp:posOffset>
          </wp:positionH>
          <wp:positionV relativeFrom="paragraph">
            <wp:posOffset>-157480</wp:posOffset>
          </wp:positionV>
          <wp:extent cx="5761355" cy="43878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1355" cy="4387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AC"/>
    <w:multiLevelType w:val="multilevel"/>
    <w:tmpl w:val="B980D268"/>
    <w:lvl w:ilvl="0">
      <w:numFmt w:val="bullet"/>
      <w:lvlText w:val=""/>
      <w:lvlJc w:val="left"/>
      <w:rPr>
        <w:rFonts w:ascii="Symbol" w:hAnsi="Symbol" w:cs="Times New Roman"/>
        <w:b w:val="0"/>
        <w:iCs/>
        <w:color w:val="000000"/>
        <w:sz w:val="20"/>
        <w:szCs w:val="24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Times New Roman"/>
        <w:iCs/>
        <w:color w:val="000000"/>
        <w:sz w:val="24"/>
        <w:szCs w:val="24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Times New Roman"/>
        <w:i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762"/>
    <w:rsid w:val="00056762"/>
    <w:rsid w:val="000A2A22"/>
    <w:rsid w:val="003F0319"/>
    <w:rsid w:val="00520FAE"/>
    <w:rsid w:val="00754C6B"/>
    <w:rsid w:val="00905375"/>
    <w:rsid w:val="00A178C4"/>
    <w:rsid w:val="00B553E3"/>
    <w:rsid w:val="00E0078A"/>
    <w:rsid w:val="00EA1A4D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paragraph" w:customStyle="1" w:styleId="ListContents">
    <w:name w:val="List Contents"/>
    <w:basedOn w:val="Normalny"/>
    <w:pPr>
      <w:ind w:left="567"/>
    </w:pPr>
    <w:rPr>
      <w:lang w:eastAsia="zh-CN"/>
    </w:rPr>
  </w:style>
  <w:style w:type="character" w:customStyle="1" w:styleId="Nagwek1Znak">
    <w:name w:val="Nagłówek 1 Znak"/>
    <w:basedOn w:val="Domylnaczcionkaakapitu"/>
    <w:rPr>
      <w:b/>
      <w:bCs/>
      <w:sz w:val="48"/>
      <w:szCs w:val="48"/>
    </w:rPr>
  </w:style>
  <w:style w:type="paragraph" w:customStyle="1" w:styleId="Tekstpodstawowy1">
    <w:name w:val="Tekst podstawowy1"/>
    <w:basedOn w:val="Standard"/>
    <w:pPr>
      <w:spacing w:after="140" w:line="288" w:lineRule="auto"/>
    </w:pPr>
  </w:style>
  <w:style w:type="character" w:customStyle="1" w:styleId="StrongEmphasis">
    <w:name w:val="Strong Emphasis"/>
    <w:rPr>
      <w:b/>
    </w:rPr>
  </w:style>
  <w:style w:type="paragraph" w:styleId="Nagwek">
    <w:name w:val="header"/>
    <w:basedOn w:val="Normalny"/>
    <w:link w:val="NagwekZnak"/>
    <w:uiPriority w:val="99"/>
    <w:unhideWhenUsed/>
    <w:rsid w:val="00A17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8C4"/>
  </w:style>
  <w:style w:type="paragraph" w:styleId="Stopka">
    <w:name w:val="footer"/>
    <w:basedOn w:val="Normalny"/>
    <w:link w:val="StopkaZnak"/>
    <w:uiPriority w:val="99"/>
    <w:unhideWhenUsed/>
    <w:rsid w:val="00A17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paragraph" w:customStyle="1" w:styleId="ListContents">
    <w:name w:val="List Contents"/>
    <w:basedOn w:val="Normalny"/>
    <w:pPr>
      <w:ind w:left="567"/>
    </w:pPr>
    <w:rPr>
      <w:lang w:eastAsia="zh-CN"/>
    </w:rPr>
  </w:style>
  <w:style w:type="character" w:customStyle="1" w:styleId="Nagwek1Znak">
    <w:name w:val="Nagłówek 1 Znak"/>
    <w:basedOn w:val="Domylnaczcionkaakapitu"/>
    <w:rPr>
      <w:b/>
      <w:bCs/>
      <w:sz w:val="48"/>
      <w:szCs w:val="48"/>
    </w:rPr>
  </w:style>
  <w:style w:type="paragraph" w:customStyle="1" w:styleId="Tekstpodstawowy1">
    <w:name w:val="Tekst podstawowy1"/>
    <w:basedOn w:val="Standard"/>
    <w:pPr>
      <w:spacing w:after="140" w:line="288" w:lineRule="auto"/>
    </w:pPr>
  </w:style>
  <w:style w:type="character" w:customStyle="1" w:styleId="StrongEmphasis">
    <w:name w:val="Strong Emphasis"/>
    <w:rPr>
      <w:b/>
    </w:rPr>
  </w:style>
  <w:style w:type="paragraph" w:styleId="Nagwek">
    <w:name w:val="header"/>
    <w:basedOn w:val="Normalny"/>
    <w:link w:val="NagwekZnak"/>
    <w:uiPriority w:val="99"/>
    <w:unhideWhenUsed/>
    <w:rsid w:val="00A17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8C4"/>
  </w:style>
  <w:style w:type="paragraph" w:styleId="Stopka">
    <w:name w:val="footer"/>
    <w:basedOn w:val="Normalny"/>
    <w:link w:val="StopkaZnak"/>
    <w:uiPriority w:val="99"/>
    <w:unhideWhenUsed/>
    <w:rsid w:val="00A17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medyczne-farmaceutyki-i-produkty-do-pielegnacji-ciala-26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Użytkownik systemu Windows</cp:lastModifiedBy>
  <cp:revision>2</cp:revision>
  <cp:lastPrinted>2019-02-21T22:09:00Z</cp:lastPrinted>
  <dcterms:created xsi:type="dcterms:W3CDTF">2019-02-21T22:16:00Z</dcterms:created>
  <dcterms:modified xsi:type="dcterms:W3CDTF">2019-02-21T22:16:00Z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