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CB53" w14:textId="37076D83" w:rsidR="0029610E" w:rsidRDefault="0029610E" w:rsidP="0029610E">
      <w:pPr>
        <w:spacing w:before="100" w:beforeAutospacing="1" w:after="100" w:afterAutospacing="1" w:line="240" w:lineRule="auto"/>
        <w:jc w:val="right"/>
        <w:outlineLvl w:val="4"/>
        <w:rPr>
          <w:rFonts w:eastAsia="Times New Roman"/>
          <w:lang w:eastAsia="pl-PL"/>
        </w:rPr>
      </w:pPr>
      <w:r>
        <w:rPr>
          <w:rFonts w:eastAsia="Times New Roman"/>
          <w:lang w:eastAsia="pl-PL"/>
        </w:rPr>
        <w:t xml:space="preserve">Wałcz, </w:t>
      </w:r>
      <w:r w:rsidR="00A83326">
        <w:rPr>
          <w:rFonts w:eastAsia="Times New Roman"/>
          <w:lang w:eastAsia="pl-PL"/>
        </w:rPr>
        <w:t>21 września</w:t>
      </w:r>
      <w:r>
        <w:rPr>
          <w:rFonts w:eastAsia="Times New Roman"/>
          <w:lang w:eastAsia="pl-PL"/>
        </w:rPr>
        <w:t xml:space="preserve"> 2021 r.</w:t>
      </w:r>
    </w:p>
    <w:p w14:paraId="19110CBE" w14:textId="77777777" w:rsidR="0029610E" w:rsidRDefault="0029610E" w:rsidP="0029610E">
      <w:r>
        <w:t>GN.683.7.2021.GG</w:t>
      </w:r>
    </w:p>
    <w:p w14:paraId="3E22837B" w14:textId="77777777" w:rsidR="0029610E" w:rsidRDefault="0029610E" w:rsidP="0029610E">
      <w:pPr>
        <w:spacing w:before="100" w:beforeAutospacing="1" w:after="100" w:afterAutospacing="1" w:line="240" w:lineRule="auto"/>
        <w:jc w:val="center"/>
        <w:rPr>
          <w:rFonts w:eastAsia="Times New Roman"/>
          <w:lang w:eastAsia="pl-PL"/>
        </w:rPr>
      </w:pPr>
      <w:r>
        <w:rPr>
          <w:rFonts w:eastAsia="Times New Roman"/>
          <w:lang w:eastAsia="pl-PL"/>
        </w:rPr>
        <w:t>OBWIESZCZENIE</w:t>
      </w:r>
    </w:p>
    <w:p w14:paraId="4D1AD0D6" w14:textId="49A32246" w:rsidR="0029610E" w:rsidRDefault="0029610E" w:rsidP="0029610E">
      <w:pPr>
        <w:spacing w:line="360" w:lineRule="auto"/>
        <w:ind w:firstLine="709"/>
        <w:rPr>
          <w:rFonts w:eastAsia="Times New Roman"/>
          <w:lang w:eastAsia="pl-PL"/>
        </w:rPr>
      </w:pPr>
      <w:r>
        <w:rPr>
          <w:rFonts w:eastAsia="Times New Roman"/>
          <w:lang w:eastAsia="pl-PL"/>
        </w:rPr>
        <w:t>Na podstawie art. 49a ustawy z dnia 14 czerwca 1960 roku Kodeks postępowania administracyjnego (Dz. U. z 2021 r., poz. 735 ze zm.)</w:t>
      </w:r>
      <w:r w:rsidR="00A83326">
        <w:rPr>
          <w:rFonts w:eastAsia="Times New Roman"/>
          <w:lang w:eastAsia="pl-PL"/>
        </w:rPr>
        <w:t>,</w:t>
      </w:r>
    </w:p>
    <w:p w14:paraId="18CA82B4" w14:textId="77777777" w:rsidR="0029610E" w:rsidRDefault="0029610E" w:rsidP="0029610E">
      <w:pPr>
        <w:spacing w:line="360" w:lineRule="auto"/>
        <w:ind w:firstLine="709"/>
        <w:rPr>
          <w:rFonts w:eastAsia="Times New Roman"/>
          <w:lang w:eastAsia="pl-PL"/>
        </w:rPr>
      </w:pPr>
    </w:p>
    <w:p w14:paraId="21FE8EF3" w14:textId="6FFBDFD3" w:rsidR="0029610E" w:rsidRPr="00966C29" w:rsidRDefault="0029610E" w:rsidP="0029610E">
      <w:pPr>
        <w:spacing w:line="360" w:lineRule="auto"/>
        <w:jc w:val="both"/>
      </w:pPr>
      <w:r w:rsidRPr="00A83326">
        <w:rPr>
          <w:rFonts w:eastAsia="Times New Roman"/>
          <w:lang w:eastAsia="pl-PL"/>
        </w:rPr>
        <w:t>- zawiadamiam strony postępowania</w:t>
      </w:r>
      <w:r w:rsidR="00A83326">
        <w:rPr>
          <w:rFonts w:eastAsia="Times New Roman"/>
          <w:lang w:eastAsia="pl-PL"/>
        </w:rPr>
        <w:t xml:space="preserve"> znak: GN.683.7.2021.GG</w:t>
      </w:r>
      <w:r w:rsidRPr="00966C29">
        <w:rPr>
          <w:rFonts w:eastAsia="Times New Roman"/>
          <w:b/>
          <w:bCs/>
          <w:lang w:eastAsia="pl-PL"/>
        </w:rPr>
        <w:t xml:space="preserve">, </w:t>
      </w:r>
      <w:r w:rsidRPr="00966C29">
        <w:rPr>
          <w:rFonts w:eastAsia="Times New Roman"/>
          <w:lang w:eastAsia="pl-PL"/>
        </w:rPr>
        <w:t xml:space="preserve">że w toku prowadzonego przez Starostę Wałeckiego postępowania o </w:t>
      </w:r>
      <w:r w:rsidRPr="00966C29">
        <w:t>ustalenie odszkodowania za nieruchomość położoną w obrębie 0001-Miasto Wałcz przy ul. Chopina, działka nr 5618/9 o powierzchni 0,0195 ha, stanowiącą współwłasność osób fizycznych oraz Wałeckiej Spółdzielni Mieszkaniowej Lokatorsko-Własnościowej w Wałczu organ powziął informacje, iż jedna ze stron postępowania (</w:t>
      </w:r>
      <w:r w:rsidR="0005026E">
        <w:t xml:space="preserve">tj. </w:t>
      </w:r>
      <w:r w:rsidRPr="00966C29">
        <w:t>Bogdan Chojnacki) nie żyje.</w:t>
      </w:r>
    </w:p>
    <w:p w14:paraId="7463905F" w14:textId="77777777" w:rsidR="00DC29EC" w:rsidRDefault="00966C29" w:rsidP="0029610E">
      <w:pPr>
        <w:spacing w:line="360" w:lineRule="auto"/>
        <w:ind w:firstLine="567"/>
        <w:jc w:val="both"/>
        <w:rPr>
          <w:u w:val="single"/>
        </w:rPr>
      </w:pPr>
      <w:r w:rsidRPr="00966C29">
        <w:t>Zgodnie z art. 12 ust. 5 ustawy o szczególnych zasadach przygotowania i realizacji inwestycji  w zakresie dróg publicznych do ustalenia wysokości i wypłacenia odszkodowania stosuje się odpowiednio przepisy ustawy o gospodarce</w:t>
      </w:r>
      <w:r>
        <w:t xml:space="preserve"> nieruchomościami</w:t>
      </w:r>
      <w:r w:rsidRPr="00966C29">
        <w:t xml:space="preserve">. W myśl art. 113 ust. 6 i 7 ustawy o gospodarce nieruchomościami za nieruchomość o nieuregulowanym stanie prawnym rozumie się nieruchomość, dla której ze względu na brak księgi wieczystej, zbioru dokumentów albo innych dokumentów nie można ustalić osób, którym przysługują do niej prawa rzeczowe, jak również </w:t>
      </w:r>
      <w:r w:rsidRPr="00966C29">
        <w:rPr>
          <w:u w:val="single"/>
        </w:rPr>
        <w:t>jeżeli właściciel</w:t>
      </w:r>
      <w:r w:rsidRPr="00966C29">
        <w:t xml:space="preserve"> lub użytkownik wieczysty nieruchomości </w:t>
      </w:r>
      <w:r w:rsidRPr="00966C29">
        <w:rPr>
          <w:u w:val="single"/>
        </w:rPr>
        <w:t>nie żyje i nie przeprowadzono lub nie zostało zakończone postępowanie spadkowe.</w:t>
      </w:r>
    </w:p>
    <w:p w14:paraId="22DD9DD5" w14:textId="165802D1" w:rsidR="0029610E" w:rsidRDefault="00DC29EC" w:rsidP="00466766">
      <w:pPr>
        <w:spacing w:line="360" w:lineRule="auto"/>
        <w:ind w:firstLine="567"/>
        <w:jc w:val="both"/>
      </w:pPr>
      <w:r w:rsidRPr="00DC29EC">
        <w:t>Mając na uwadze powyższe</w:t>
      </w:r>
      <w:r w:rsidR="00A83326">
        <w:t>,</w:t>
      </w:r>
      <w:r w:rsidRPr="00DC29EC">
        <w:t xml:space="preserve"> </w:t>
      </w:r>
      <w:r w:rsidR="0029610E" w:rsidRPr="00DC29EC">
        <w:t xml:space="preserve"> </w:t>
      </w:r>
      <w:r w:rsidRPr="00DC29EC">
        <w:t xml:space="preserve">wzywam następców prawnych oraz osoby, które wykażą, że przysługują im prawa rzeczowe do </w:t>
      </w:r>
      <w:r>
        <w:t>części t</w:t>
      </w:r>
      <w:r w:rsidRPr="00DC29EC">
        <w:t>ej nieruchomości</w:t>
      </w:r>
      <w:r>
        <w:t xml:space="preserve"> po zmarłym Bogdanie Chojnackim</w:t>
      </w:r>
      <w:r w:rsidRPr="00DC29EC">
        <w:t xml:space="preserve">, aby w terminie 2 miesięcy od ukazania się niniejszego </w:t>
      </w:r>
      <w:r>
        <w:t>obwieszczenia</w:t>
      </w:r>
      <w:r w:rsidRPr="00DC29EC">
        <w:t xml:space="preserve"> zgłosili i udokumentowali swoje prawa</w:t>
      </w:r>
      <w:r w:rsidR="00466766">
        <w:t xml:space="preserve"> przed tutejszym organem.</w:t>
      </w:r>
    </w:p>
    <w:p w14:paraId="5358E179" w14:textId="095BFFAA" w:rsidR="0029610E" w:rsidRDefault="00466766" w:rsidP="0029610E">
      <w:pPr>
        <w:spacing w:line="360" w:lineRule="auto"/>
        <w:ind w:firstLine="709"/>
        <w:jc w:val="both"/>
        <w:rPr>
          <w:rFonts w:eastAsia="Times New Roman"/>
          <w:lang w:eastAsia="pl-PL"/>
        </w:rPr>
      </w:pPr>
      <w:r>
        <w:rPr>
          <w:rFonts w:eastAsia="Times New Roman"/>
          <w:lang w:eastAsia="pl-PL"/>
        </w:rPr>
        <w:t xml:space="preserve">Szczegółowych informacji w tej sprawie udziela </w:t>
      </w:r>
      <w:r w:rsidR="0029610E">
        <w:rPr>
          <w:rFonts w:eastAsia="Times New Roman"/>
          <w:lang w:eastAsia="pl-PL"/>
        </w:rPr>
        <w:t xml:space="preserve">Wydziale Geodezji, Kartografii i Gospodarki Starostwa Powiatowego w Wałczu, ul. Okulickiego 15, pokój nr 11, </w:t>
      </w:r>
      <w:r>
        <w:rPr>
          <w:rFonts w:eastAsia="Times New Roman"/>
          <w:lang w:eastAsia="pl-PL"/>
        </w:rPr>
        <w:br/>
      </w:r>
      <w:r w:rsidR="0029610E">
        <w:rPr>
          <w:rFonts w:eastAsia="Times New Roman"/>
          <w:lang w:eastAsia="pl-PL"/>
        </w:rPr>
        <w:t>w godzinach 7</w:t>
      </w:r>
      <w:r w:rsidR="0029610E">
        <w:rPr>
          <w:rFonts w:eastAsia="Times New Roman"/>
          <w:u w:val="single"/>
          <w:vertAlign w:val="superscript"/>
          <w:lang w:eastAsia="pl-PL"/>
        </w:rPr>
        <w:t>30</w:t>
      </w:r>
      <w:r w:rsidR="0029610E">
        <w:rPr>
          <w:rFonts w:eastAsia="Times New Roman"/>
          <w:lang w:eastAsia="pl-PL"/>
        </w:rPr>
        <w:t xml:space="preserve"> – 14</w:t>
      </w:r>
      <w:r w:rsidR="0029610E">
        <w:rPr>
          <w:rFonts w:eastAsia="Times New Roman"/>
          <w:u w:val="single"/>
          <w:vertAlign w:val="superscript"/>
          <w:lang w:eastAsia="pl-PL"/>
        </w:rPr>
        <w:t>30</w:t>
      </w:r>
      <w:r w:rsidR="0029610E">
        <w:rPr>
          <w:rFonts w:eastAsia="Times New Roman"/>
          <w:lang w:eastAsia="pl-PL"/>
        </w:rPr>
        <w:t>,  tel. nr 67-387-25-40</w:t>
      </w:r>
      <w:r>
        <w:rPr>
          <w:rFonts w:eastAsia="Times New Roman"/>
          <w:lang w:eastAsia="pl-PL"/>
        </w:rPr>
        <w:t>).</w:t>
      </w:r>
    </w:p>
    <w:p w14:paraId="13CED0C7" w14:textId="77777777" w:rsidR="0029610E" w:rsidRDefault="0029610E" w:rsidP="0029610E">
      <w:pPr>
        <w:ind w:firstLine="709"/>
        <w:jc w:val="both"/>
      </w:pPr>
    </w:p>
    <w:p w14:paraId="002C1267" w14:textId="4970D9C7" w:rsidR="0029610E" w:rsidRDefault="0029610E" w:rsidP="0029610E">
      <w:pPr>
        <w:spacing w:line="360" w:lineRule="auto"/>
        <w:jc w:val="both"/>
        <w:rPr>
          <w:rFonts w:eastAsia="Times New Roman"/>
          <w:lang w:eastAsia="pl-PL"/>
        </w:rPr>
      </w:pPr>
      <w:r>
        <w:rPr>
          <w:rFonts w:eastAsia="Times New Roman"/>
          <w:lang w:eastAsia="pl-PL"/>
        </w:rPr>
        <w:t xml:space="preserve">            Zgodnie z art. 49 § 2 k.p.a. dzień w którym nastąpiło publiczne obwieszczenie, inne ogłoszenie lub udostępnienie pisma w Biuletynie Informacji Publicznej wskazuje się w treści tego obwieszczenia, ogłoszenia lub w Biuletynie Informacji Publicznej. </w:t>
      </w:r>
      <w:r>
        <w:rPr>
          <w:rFonts w:eastAsia="Times New Roman"/>
          <w:u w:val="single"/>
          <w:lang w:eastAsia="pl-PL"/>
        </w:rPr>
        <w:t>Zawiadomienie uważa się za dokonane po upływie czternastu dni od dnia, w którym</w:t>
      </w:r>
      <w:r>
        <w:rPr>
          <w:rFonts w:eastAsia="Times New Roman"/>
          <w:lang w:eastAsia="pl-PL"/>
        </w:rPr>
        <w:t xml:space="preserve"> </w:t>
      </w:r>
      <w:r>
        <w:rPr>
          <w:rFonts w:eastAsia="Times New Roman"/>
          <w:u w:val="single"/>
          <w:lang w:eastAsia="pl-PL"/>
        </w:rPr>
        <w:lastRenderedPageBreak/>
        <w:t>nastąpiło</w:t>
      </w:r>
      <w:r>
        <w:rPr>
          <w:rFonts w:eastAsia="Times New Roman"/>
          <w:lang w:eastAsia="pl-PL"/>
        </w:rPr>
        <w:t xml:space="preserve"> publiczne obwieszczenie, inne publiczne ogłoszenie lub </w:t>
      </w:r>
      <w:r>
        <w:rPr>
          <w:rFonts w:eastAsia="Times New Roman"/>
          <w:u w:val="single"/>
          <w:lang w:eastAsia="pl-PL"/>
        </w:rPr>
        <w:t>udostępnienie pisma w Biuletynie Informacji Publicznej</w:t>
      </w:r>
      <w:r>
        <w:rPr>
          <w:rFonts w:eastAsia="Times New Roman"/>
          <w:lang w:eastAsia="pl-PL"/>
        </w:rPr>
        <w:t>. Zawiadomienie uważa się za dokonane po upływie 14 dni od dnia, w którym nastąpiło publiczne obwieszczenie, inne publiczne ogłoszenie lub udostępnienie pisma w Biuletynie Informacji Publicznej.</w:t>
      </w:r>
    </w:p>
    <w:p w14:paraId="095F7692" w14:textId="4B219889" w:rsidR="00A83326" w:rsidRDefault="00A83326" w:rsidP="0029610E">
      <w:pPr>
        <w:spacing w:line="360" w:lineRule="auto"/>
        <w:jc w:val="both"/>
        <w:rPr>
          <w:rFonts w:eastAsia="Times New Roman"/>
          <w:lang w:eastAsia="pl-PL"/>
        </w:rPr>
      </w:pPr>
    </w:p>
    <w:p w14:paraId="62E5A61F" w14:textId="3300F9AE" w:rsidR="00A83326" w:rsidRDefault="00A83326" w:rsidP="0029610E">
      <w:pPr>
        <w:spacing w:line="360" w:lineRule="auto"/>
        <w:jc w:val="both"/>
        <w:rPr>
          <w:rFonts w:eastAsia="Times New Roman"/>
          <w:lang w:eastAsia="pl-PL"/>
        </w:rPr>
      </w:pPr>
    </w:p>
    <w:p w14:paraId="67CC6124" w14:textId="7565EBE4" w:rsidR="000716AA" w:rsidRDefault="00384C31" w:rsidP="000716AA">
      <w:pPr>
        <w:spacing w:line="360" w:lineRule="auto"/>
        <w:ind w:firstLine="709"/>
        <w:jc w:val="both"/>
        <w:rPr>
          <w:rFonts w:eastAsia="Times New Roman"/>
          <w:b/>
          <w:bCs/>
          <w:sz w:val="20"/>
          <w:szCs w:val="20"/>
          <w:lang w:eastAsia="pl-PL"/>
        </w:rPr>
      </w:pPr>
      <w:r>
        <w:rPr>
          <w:rFonts w:eastAsia="Times New Roman"/>
          <w:lang w:eastAsia="pl-PL"/>
        </w:rPr>
        <w:t xml:space="preserve">                                                            </w:t>
      </w:r>
      <w:r w:rsidR="000716AA">
        <w:rPr>
          <w:rFonts w:eastAsia="Times New Roman"/>
          <w:b/>
          <w:bCs/>
          <w:sz w:val="20"/>
          <w:szCs w:val="20"/>
          <w:lang w:eastAsia="pl-PL"/>
        </w:rPr>
        <w:t>z up. STAROSTY WAŁECKIEGO</w:t>
      </w:r>
    </w:p>
    <w:p w14:paraId="26B78F8D" w14:textId="77777777" w:rsidR="000716AA" w:rsidRDefault="000716AA" w:rsidP="000716AA">
      <w:pPr>
        <w:spacing w:line="240" w:lineRule="auto"/>
        <w:ind w:firstLine="709"/>
        <w:jc w:val="both"/>
        <w:rPr>
          <w:rFonts w:eastAsia="Times New Roman"/>
          <w:i/>
          <w:iCs/>
          <w:sz w:val="20"/>
          <w:szCs w:val="20"/>
          <w:lang w:eastAsia="pl-PL"/>
        </w:rPr>
      </w:pPr>
      <w:r>
        <w:rPr>
          <w:rFonts w:eastAsia="Times New Roman"/>
          <w:b/>
          <w:bCs/>
          <w:sz w:val="20"/>
          <w:szCs w:val="20"/>
          <w:lang w:eastAsia="pl-PL"/>
        </w:rPr>
        <w:t xml:space="preserve">                                                                                  </w:t>
      </w:r>
      <w:r>
        <w:rPr>
          <w:rFonts w:eastAsia="Times New Roman"/>
          <w:i/>
          <w:iCs/>
          <w:sz w:val="20"/>
          <w:szCs w:val="20"/>
          <w:lang w:eastAsia="pl-PL"/>
        </w:rPr>
        <w:t>Małgorzata Górzyńska</w:t>
      </w:r>
    </w:p>
    <w:p w14:paraId="6B0AD628" w14:textId="77777777" w:rsidR="000716AA" w:rsidRDefault="000716AA" w:rsidP="000716AA">
      <w:pPr>
        <w:spacing w:line="240" w:lineRule="auto"/>
        <w:ind w:firstLine="709"/>
        <w:jc w:val="both"/>
        <w:rPr>
          <w:rFonts w:eastAsia="Times New Roman"/>
          <w:i/>
          <w:iCs/>
          <w:sz w:val="20"/>
          <w:szCs w:val="20"/>
          <w:lang w:eastAsia="pl-PL"/>
        </w:rPr>
      </w:pPr>
      <w:r>
        <w:rPr>
          <w:rFonts w:eastAsia="Times New Roman"/>
          <w:i/>
          <w:iCs/>
          <w:sz w:val="20"/>
          <w:szCs w:val="20"/>
          <w:lang w:eastAsia="pl-PL"/>
        </w:rPr>
        <w:t xml:space="preserve">                                                                            Naczelnik Wydziału Geodezji</w:t>
      </w:r>
    </w:p>
    <w:p w14:paraId="19C6B6BE" w14:textId="77777777" w:rsidR="000716AA" w:rsidRDefault="000716AA" w:rsidP="000716AA">
      <w:pPr>
        <w:spacing w:line="240" w:lineRule="auto"/>
        <w:ind w:firstLine="709"/>
        <w:jc w:val="both"/>
        <w:rPr>
          <w:rFonts w:eastAsia="Times New Roman"/>
          <w:i/>
          <w:iCs/>
          <w:sz w:val="20"/>
          <w:szCs w:val="20"/>
          <w:lang w:eastAsia="pl-PL"/>
        </w:rPr>
      </w:pPr>
      <w:r>
        <w:rPr>
          <w:rFonts w:eastAsia="Times New Roman"/>
          <w:i/>
          <w:iCs/>
          <w:sz w:val="20"/>
          <w:szCs w:val="20"/>
          <w:lang w:eastAsia="pl-PL"/>
        </w:rPr>
        <w:t xml:space="preserve">                                                                      Kartografii i Gospodarki Nieruchomościami</w:t>
      </w:r>
    </w:p>
    <w:p w14:paraId="775D5463" w14:textId="77777777" w:rsidR="000716AA" w:rsidRDefault="000716AA" w:rsidP="000716AA">
      <w:pPr>
        <w:spacing w:line="360" w:lineRule="auto"/>
        <w:ind w:firstLine="709"/>
        <w:jc w:val="both"/>
        <w:rPr>
          <w:rFonts w:eastAsia="Times New Roman"/>
          <w:i/>
          <w:iCs/>
          <w:sz w:val="20"/>
          <w:szCs w:val="20"/>
          <w:lang w:eastAsia="pl-PL"/>
        </w:rPr>
      </w:pPr>
      <w:r>
        <w:rPr>
          <w:rFonts w:eastAsia="Times New Roman"/>
          <w:i/>
          <w:iCs/>
          <w:sz w:val="20"/>
          <w:szCs w:val="20"/>
          <w:lang w:eastAsia="pl-PL"/>
        </w:rPr>
        <w:t xml:space="preserve">                                                                                     </w:t>
      </w:r>
    </w:p>
    <w:p w14:paraId="527B511A" w14:textId="77777777" w:rsidR="000716AA" w:rsidRDefault="000716AA" w:rsidP="000716AA">
      <w:pPr>
        <w:rPr>
          <w:b/>
        </w:rPr>
      </w:pPr>
      <w:r>
        <w:rPr>
          <w:b/>
        </w:rPr>
        <w:t>Otrzymują:</w:t>
      </w:r>
    </w:p>
    <w:p w14:paraId="5FE32517" w14:textId="77777777" w:rsidR="000716AA" w:rsidRDefault="000716AA" w:rsidP="000716AA">
      <w:pPr>
        <w:jc w:val="both"/>
        <w:rPr>
          <w:rFonts w:eastAsia="Times New Roman"/>
          <w:u w:val="single"/>
          <w:lang w:eastAsia="pl-PL"/>
        </w:rPr>
      </w:pPr>
    </w:p>
    <w:p w14:paraId="2812CA9C" w14:textId="77777777" w:rsidR="000716AA" w:rsidRDefault="000716AA" w:rsidP="000716AA">
      <w:pPr>
        <w:jc w:val="both"/>
        <w:rPr>
          <w:rFonts w:eastAsia="Times New Roman"/>
          <w:lang w:eastAsia="pl-PL"/>
        </w:rPr>
      </w:pPr>
      <w:r>
        <w:rPr>
          <w:rFonts w:eastAsia="Times New Roman"/>
          <w:lang w:eastAsia="pl-PL"/>
        </w:rPr>
        <w:t xml:space="preserve">1.Strony według rozdzielnika – na zasadzie art. 49a Kodeksu postępowania   </w:t>
      </w:r>
    </w:p>
    <w:p w14:paraId="73F381AF" w14:textId="77777777" w:rsidR="000716AA" w:rsidRDefault="000716AA" w:rsidP="000716AA">
      <w:pPr>
        <w:jc w:val="both"/>
        <w:rPr>
          <w:rFonts w:eastAsia="Times New Roman"/>
          <w:lang w:eastAsia="pl-PL"/>
        </w:rPr>
      </w:pPr>
      <w:r>
        <w:rPr>
          <w:rFonts w:eastAsia="Times New Roman"/>
          <w:lang w:eastAsia="pl-PL"/>
        </w:rPr>
        <w:t xml:space="preserve">   administracyjnego.</w:t>
      </w:r>
    </w:p>
    <w:p w14:paraId="5FC30D8F" w14:textId="77777777" w:rsidR="000716AA" w:rsidRDefault="000716AA" w:rsidP="000716AA">
      <w:pPr>
        <w:pStyle w:val="Akapitzlist"/>
        <w:jc w:val="both"/>
        <w:rPr>
          <w:rFonts w:ascii="Arial" w:eastAsia="Times New Roman" w:hAnsi="Arial" w:cs="Arial"/>
          <w:szCs w:val="24"/>
          <w:lang w:eastAsia="pl-PL"/>
        </w:rPr>
      </w:pPr>
    </w:p>
    <w:p w14:paraId="58EC11DF" w14:textId="77777777" w:rsidR="000716AA" w:rsidRDefault="000716AA" w:rsidP="000716AA">
      <w:pPr>
        <w:jc w:val="both"/>
        <w:rPr>
          <w:rFonts w:eastAsia="Times New Roman"/>
          <w:lang w:eastAsia="pl-PL"/>
        </w:rPr>
      </w:pPr>
      <w:r>
        <w:rPr>
          <w:rFonts w:eastAsia="Times New Roman"/>
          <w:lang w:eastAsia="pl-PL"/>
        </w:rPr>
        <w:t>2.a/a</w:t>
      </w:r>
    </w:p>
    <w:p w14:paraId="47775FCD" w14:textId="73767991" w:rsidR="00A83326" w:rsidRDefault="00384C31" w:rsidP="0029610E">
      <w:pPr>
        <w:spacing w:line="360" w:lineRule="auto"/>
        <w:jc w:val="both"/>
        <w:rPr>
          <w:rFonts w:eastAsia="Times New Roman"/>
          <w:lang w:eastAsia="pl-PL"/>
        </w:rPr>
      </w:pPr>
      <w:r>
        <w:rPr>
          <w:rFonts w:eastAsia="Times New Roman"/>
          <w:lang w:eastAsia="pl-PL"/>
        </w:rPr>
        <w:t xml:space="preserve">               </w:t>
      </w:r>
    </w:p>
    <w:p w14:paraId="79BCB7FC" w14:textId="77777777" w:rsidR="00A83326" w:rsidRDefault="00A83326" w:rsidP="0029610E">
      <w:pPr>
        <w:spacing w:line="360" w:lineRule="auto"/>
        <w:jc w:val="both"/>
        <w:rPr>
          <w:rFonts w:eastAsia="Times New Roman"/>
          <w:lang w:eastAsia="pl-PL"/>
        </w:rPr>
      </w:pPr>
    </w:p>
    <w:p w14:paraId="35CA9E0F" w14:textId="77777777" w:rsidR="0029610E" w:rsidRDefault="0029610E" w:rsidP="0029610E"/>
    <w:p w14:paraId="2374B1AB" w14:textId="77777777" w:rsidR="00751731" w:rsidRDefault="00751731"/>
    <w:sectPr w:rsidR="00751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D5"/>
    <w:rsid w:val="0005026E"/>
    <w:rsid w:val="000716AA"/>
    <w:rsid w:val="0029610E"/>
    <w:rsid w:val="00384C31"/>
    <w:rsid w:val="00466766"/>
    <w:rsid w:val="00751731"/>
    <w:rsid w:val="00966C29"/>
    <w:rsid w:val="00A83326"/>
    <w:rsid w:val="00CE6D4F"/>
    <w:rsid w:val="00D036D5"/>
    <w:rsid w:val="00DC2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CED1"/>
  <w15:chartTrackingRefBased/>
  <w15:docId w15:val="{0A29EAD6-9436-445A-B44F-00C83A2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10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16AA"/>
    <w:pPr>
      <w:spacing w:line="240" w:lineRule="auto"/>
      <w:ind w:left="720"/>
      <w:contextualSpacing/>
    </w:pPr>
    <w:rPr>
      <w:rFonts w:ascii="Times New Roman"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912">
      <w:bodyDiv w:val="1"/>
      <w:marLeft w:val="0"/>
      <w:marRight w:val="0"/>
      <w:marTop w:val="0"/>
      <w:marBottom w:val="0"/>
      <w:divBdr>
        <w:top w:val="none" w:sz="0" w:space="0" w:color="auto"/>
        <w:left w:val="none" w:sz="0" w:space="0" w:color="auto"/>
        <w:bottom w:val="none" w:sz="0" w:space="0" w:color="auto"/>
        <w:right w:val="none" w:sz="0" w:space="0" w:color="auto"/>
      </w:divBdr>
    </w:div>
    <w:div w:id="13150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Naczelnik3</dc:creator>
  <cp:keywords/>
  <dc:description/>
  <cp:lastModifiedBy>Naczelnik3</cp:lastModifiedBy>
  <cp:revision>9</cp:revision>
  <dcterms:created xsi:type="dcterms:W3CDTF">2021-08-17T09:15:00Z</dcterms:created>
  <dcterms:modified xsi:type="dcterms:W3CDTF">2021-09-21T11:22:00Z</dcterms:modified>
</cp:coreProperties>
</file>